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Introduction to MSME companies in India</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 xml:space="preserve">The Micro, Small, and Medium Enterprises (MSME) sector plays a crucial role in the Indian economy, contributing significantly to employment generation, industrial production, and export earnings. However, operating a MSME company in India entails various compliance obligations that must be diligently managed. From registration and licensing requirements to tax and </w:t>
      </w:r>
      <w:proofErr w:type="spellStart"/>
      <w:r w:rsidRPr="00800965">
        <w:rPr>
          <w:rFonts w:ascii="Arial" w:eastAsia="Times New Roman" w:hAnsi="Arial" w:cs="Arial"/>
          <w:color w:val="707375"/>
          <w:spacing w:val="1"/>
          <w:sz w:val="24"/>
          <w:szCs w:val="24"/>
          <w:shd w:val="clear" w:color="auto" w:fill="FFFFFF"/>
          <w:lang w:eastAsia="en-IN"/>
        </w:rPr>
        <w:t>labor</w:t>
      </w:r>
      <w:proofErr w:type="spellEnd"/>
      <w:r w:rsidRPr="00800965">
        <w:rPr>
          <w:rFonts w:ascii="Arial" w:eastAsia="Times New Roman" w:hAnsi="Arial" w:cs="Arial"/>
          <w:color w:val="707375"/>
          <w:spacing w:val="1"/>
          <w:sz w:val="24"/>
          <w:szCs w:val="24"/>
          <w:shd w:val="clear" w:color="auto" w:fill="FFFFFF"/>
          <w:lang w:eastAsia="en-IN"/>
        </w:rPr>
        <w:t xml:space="preserve"> law compliances, MSMEs need to navigate through a complex web of regulations to ensure legal and ethical operations. This article provides a comprehensive overview of the compliances that MSME companies in India need to manage, offering insights into the various legal aspects and best practices to ensure smooth compliance adherence. By understanding and proactively addressing these compliance obligations, MSMEs can not only safeguard their enterprises but also thrive in a competitive business environment.</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1. Introduction to MSME companies in India</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Definition and categorization of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MSME, which stands for Micro, Small, and Medium Enterprises, plays a crucial role in the Indian economy. These companies are defined based on their investment in plant and machinery or equipment. Micro Enterprises are those with an investment of up to ₹1 crore (around $14,000), Small Enterprises are those with an investment of up to ₹10 crores ($1.4 million), and Medium Enterprises are those with an investment of up to ₹50 crores ($7 million).</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Importance and role of MSME sector in the Indian economy</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The MSME sector is the backbone of the Indian economy, contributing significantly to employment generation, innovation, and overall economic development. These companies form a vital part of the supply chain, catering to both domestic and international markets. They also foster entrepreneurship, especially in rural and semi-urban areas, driving inclusive growth and reducing regional imbalances.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2. Overview of compliance obligations for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Understanding the legal framework for MSME compliance</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 xml:space="preserve">Compliance obligations for MSMEs are governed by various laws and regulations, </w:t>
      </w:r>
      <w:r w:rsidRPr="00800965">
        <w:rPr>
          <w:rFonts w:ascii="Arial" w:eastAsia="Times New Roman" w:hAnsi="Arial" w:cs="Arial"/>
          <w:color w:val="707375"/>
          <w:spacing w:val="1"/>
          <w:sz w:val="24"/>
          <w:szCs w:val="24"/>
          <w:shd w:val="clear" w:color="auto" w:fill="FFFFFF"/>
          <w:lang w:eastAsia="en-IN"/>
        </w:rPr>
        <w:lastRenderedPageBreak/>
        <w:t>including the Micro, Small, and Medium Enterprises Development (MSMED) Act, 2006. The Act sets the groundwork for defining MSMEs, promoting their competitiveness, and resolving payment disputes.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Key regulatory bodies and authorities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In India, several regulatory bodies and authorities oversee compliance for MSMEs. The Ministry of Micro, S</w:t>
      </w:r>
      <w:r>
        <w:rPr>
          <w:rFonts w:ascii="Arial" w:eastAsia="Times New Roman" w:hAnsi="Arial" w:cs="Arial"/>
          <w:color w:val="707375"/>
          <w:spacing w:val="1"/>
          <w:sz w:val="24"/>
          <w:szCs w:val="24"/>
          <w:shd w:val="clear" w:color="auto" w:fill="FFFFFF"/>
          <w:lang w:eastAsia="en-IN"/>
        </w:rPr>
        <w:t>mall, and Medium Enterprises (</w:t>
      </w:r>
      <w:r w:rsidRPr="00800965">
        <w:rPr>
          <w:rFonts w:ascii="Arial" w:eastAsia="Times New Roman" w:hAnsi="Arial" w:cs="Arial"/>
          <w:color w:val="707375"/>
          <w:spacing w:val="1"/>
          <w:sz w:val="24"/>
          <w:szCs w:val="24"/>
          <w:shd w:val="clear" w:color="auto" w:fill="FFFFFF"/>
          <w:lang w:eastAsia="en-IN"/>
        </w:rPr>
        <w:t>MSME) is responsible for policy formulation, while the National Small Industries Corporation (NSIC) assists in the procurement and marketing of MSME products. Additionally, state-level agencies and departments provide support and guidance to MSMEs.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3. Registration and licensing requirements for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Process and criteria for MSME registration</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To avail benefits and incentives, MSMEs are encouraged to register themselves. The registration process can be done online through the Udyam Registration portal. MSMEs need to provide details like Aadhaar number, business name, type of organization, and bank account information. Upon registration, MSMEs receive a unique Udyam Registration Number.</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Obtaining necessary licenses and permits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In addition to MSME registration, specific licenses and permits may be required depending on the nature of the business. These include GST registration, environmental clearances, trade licenses, and more. MSMEs should consult the relevant authorities or seek professional advice to ensure they comply with all necessary requirements.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4. Tax compliances for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Overview of direct and indirect taxes applicable to MSMEs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Like any other business entity, MSMEs have tax obligations to fulfil. These include direct taxes such as income tax and indirect taxes like Goods and Services Tax (GST). MSMEs must understand their tax liabilities, applicable rates, and filing requirements to avoid penalties and ensure timely compliance.</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lastRenderedPageBreak/>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Filing tax returns and maintaining tax records</w:t>
      </w:r>
    </w:p>
    <w:p w:rsidR="00800965" w:rsidRDefault="00800965" w:rsidP="00800965">
      <w:pPr>
        <w:spacing w:after="0" w:line="240" w:lineRule="auto"/>
        <w:rPr>
          <w:rFonts w:ascii="Arial" w:eastAsia="Times New Roman" w:hAnsi="Arial" w:cs="Arial"/>
          <w:color w:val="707375"/>
          <w:spacing w:val="1"/>
          <w:sz w:val="24"/>
          <w:szCs w:val="24"/>
          <w:shd w:val="clear" w:color="auto" w:fill="FFFFFF"/>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MSMEs need to maintain proper books of accounts and records to accurately calculate their tax liabilities. They must file income tax returns and GST returns within the prescribed timelines. It is crucial for MSMEs to keep track of their financial transactions and maintain compliance with tax regulations to avoid any legal complications. Remember, it's better to have well-kept books than a visit from the taxman!</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Navigating the compliance landscape can be daunting for MSME companies, but with a clear understanding of their obligations and timely action, they can easily manage and meet their compliance requirements. So, MSMEs, stay compliant and keep rocking the business world with your unique charm!</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bookmarkStart w:id="0" w:name="_GoBack"/>
      <w:bookmarkEnd w:id="0"/>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5. Labour law compliances for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Ensuring compliance with minimum wage and working hour regulations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 xml:space="preserve">Working hard is great, but working smart and legally is even better! As an MSME company in India, it's crucial to ensure that you comply with </w:t>
      </w:r>
      <w:proofErr w:type="spellStart"/>
      <w:r w:rsidRPr="00800965">
        <w:rPr>
          <w:rFonts w:ascii="Arial" w:eastAsia="Times New Roman" w:hAnsi="Arial" w:cs="Arial"/>
          <w:color w:val="707375"/>
          <w:spacing w:val="1"/>
          <w:sz w:val="24"/>
          <w:szCs w:val="24"/>
          <w:shd w:val="clear" w:color="auto" w:fill="FFFFFF"/>
          <w:lang w:eastAsia="en-IN"/>
        </w:rPr>
        <w:t>labor</w:t>
      </w:r>
      <w:proofErr w:type="spellEnd"/>
      <w:r w:rsidRPr="00800965">
        <w:rPr>
          <w:rFonts w:ascii="Arial" w:eastAsia="Times New Roman" w:hAnsi="Arial" w:cs="Arial"/>
          <w:color w:val="707375"/>
          <w:spacing w:val="1"/>
          <w:sz w:val="24"/>
          <w:szCs w:val="24"/>
          <w:shd w:val="clear" w:color="auto" w:fill="FFFFFF"/>
          <w:lang w:eastAsia="en-IN"/>
        </w:rPr>
        <w:t xml:space="preserve"> laws regarding minimum wage and working hours. Paying your employees fairly and providing them with proper working hours not only keeps you on the right side of the law but also fosters a positive work environment.</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Employee welfare and health safety compliances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Happy employees make for a thriving business! In addition to meeting minimum wage requirements, MSME companies need to prioritize employee welfare and health safety. This includes providing a clean and safe working environment, implementing proper safety measures, and ensuring access to necessary facilities such as restrooms, drinking water, and first aid.</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6. Environmental and health compliances for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Managing waste disposal and pollution control measures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While you may not have the resources of a big corporation, you can still do your part in protecting the environment. MSME companies must manage waste disposal responsibly and implement pollution control measures. Being mindful of your carbon footprint and adopting eco-friendly practices can not only help the planet but can also enhance your reputation as a socially responsible business.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lastRenderedPageBreak/>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Ensuring compliance with occupational safety and health standards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Safety first, always! As an MSME company, it's crucial to prioritize occupational safety and health standards. This means conducting risk assessments, implementing safety protocols, providing appropriate protective gear, and conducting regular training sessions. By ensuring a safe and healthy work environment, you not only protect your employees but also mitigate potential legal and financial risks.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7. Intellectual property rights and compliance considerations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Protecting intellectual property assets of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In a world where innovation is valued, protecting your intellectual property is paramount. MSME companies need to safeguard their unique ideas, inventions, and business processes by filing for patents, trademarks, or copyrights as applicable. It's essential to understand and comply with intellectual property laws to prevent unauthorized use and potential loss of revenue.</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Ensuring compliance with copyright and trademark laws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Copying may be a form of flattery, but when it comes to your business, it's a serious matter. MSME companies must ensure they comply with copyright and trademark laws. This includes avoiding plagiarism, respecting others' copyrights, and not infringing on existing trademarks. By doing so, you protect your brand, reputation, and avoid unnecessary legal disputes.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8. Compliance challenges and best practices for MSME companies in India</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Identifying common compliance challenges faced by MSMEs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Navigating the compliance landscape can be a challenge, particularly for MSMEs. Limited resources and expertise can pose obstacles. Common compliance challenges include staying updated with regulatory changes, managing documentation, and understanding complex legal jargon. Identifying these challenges is the first step to finding effective solutions.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lastRenderedPageBreak/>
        <w:t>Implementing effective compliance management systems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Just like a well-oiled machine, a well-implemented compliance management system keeps your business running smoothly. MSME companies should adopt best practices, such as appointing a compliance officer or team, conducting regular audits, documenting processes, and utilizing technology tools that automate compliance tasks. By prioritizing compliance, you not only mitigate risks but also create a foundation for sustainable growth.</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 xml:space="preserve">Remember, compliance doesn't have to be a daunting task for MSME companies. By understanding and adhering to labour laws, ensuring environmental and health compliances, protecting intellectual property, and implementing effective compliance management systems, you can navigate the regulatory landscape with confidence and keep your business thriving. Stay compliant, stay awesome! In conclusion, compliance management is a critical aspect for MSME companies in India. By effectively navigating through the registration process, understanding tax and </w:t>
      </w:r>
      <w:proofErr w:type="spellStart"/>
      <w:r w:rsidRPr="00800965">
        <w:rPr>
          <w:rFonts w:ascii="Arial" w:eastAsia="Times New Roman" w:hAnsi="Arial" w:cs="Arial"/>
          <w:color w:val="707375"/>
          <w:spacing w:val="1"/>
          <w:sz w:val="24"/>
          <w:szCs w:val="24"/>
          <w:shd w:val="clear" w:color="auto" w:fill="FFFFFF"/>
          <w:lang w:eastAsia="en-IN"/>
        </w:rPr>
        <w:t>labor</w:t>
      </w:r>
      <w:proofErr w:type="spellEnd"/>
      <w:r w:rsidRPr="00800965">
        <w:rPr>
          <w:rFonts w:ascii="Arial" w:eastAsia="Times New Roman" w:hAnsi="Arial" w:cs="Arial"/>
          <w:color w:val="707375"/>
          <w:spacing w:val="1"/>
          <w:sz w:val="24"/>
          <w:szCs w:val="24"/>
          <w:shd w:val="clear" w:color="auto" w:fill="FFFFFF"/>
          <w:lang w:eastAsia="en-IN"/>
        </w:rPr>
        <w:t xml:space="preserve"> law obligations, and prioritizing environmental, health, and intellectual property compliances, MSMEs can ensure legal and ethical operations. While the compliance landscape may present challenges, implementing robust compliance management systems and staying updated with regulatory changes can help MSMEs mitigate risks and build a solid foundation for long-term success. By embracing a proactive approach towards compliance, MSMEs can not only meet their legal obligations but also enhance their reputation, build trust with stakeholders, and contribute to the sustainable growth of the Indian economy.</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1"/>
        <w:rPr>
          <w:rFonts w:ascii="Arial" w:eastAsia="Times New Roman" w:hAnsi="Arial" w:cs="Arial"/>
          <w:color w:val="181D20"/>
          <w:spacing w:val="1"/>
          <w:sz w:val="36"/>
          <w:szCs w:val="36"/>
          <w:lang w:eastAsia="en-IN"/>
        </w:rPr>
      </w:pPr>
      <w:r w:rsidRPr="00800965">
        <w:rPr>
          <w:rFonts w:ascii="Arial" w:eastAsia="Times New Roman" w:hAnsi="Arial" w:cs="Arial"/>
          <w:color w:val="181D20"/>
          <w:spacing w:val="1"/>
          <w:sz w:val="36"/>
          <w:szCs w:val="36"/>
          <w:lang w:eastAsia="en-IN"/>
        </w:rPr>
        <w:t>Frequently Asked Questions (FAQ)</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1. Do all MSME companies in India have to register?</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Yes, all MSME companies in India are required to register under the Micro, Small, and Medium Enterprises Development (MSMED) Act. The registration provides various benefits and is mandatory for availing government schemes and incentives.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2. What are the consequences of non-compliance for MSME companies?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Non-compliance with the applicable regulations can result in penalties, fines, and legal consequences for MSME companies. It can also damage the company's reputation, affect its eligibility for certain benefits, and hinder future growth prospects.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 xml:space="preserve">3. How can MSMEs ensure compliance with </w:t>
      </w:r>
      <w:proofErr w:type="spellStart"/>
      <w:r w:rsidRPr="00800965">
        <w:rPr>
          <w:rFonts w:ascii="Arial" w:eastAsia="Times New Roman" w:hAnsi="Arial" w:cs="Arial"/>
          <w:color w:val="181D20"/>
          <w:spacing w:val="1"/>
          <w:sz w:val="27"/>
          <w:szCs w:val="27"/>
          <w:lang w:eastAsia="en-IN"/>
        </w:rPr>
        <w:t>labor</w:t>
      </w:r>
      <w:proofErr w:type="spellEnd"/>
      <w:r w:rsidRPr="00800965">
        <w:rPr>
          <w:rFonts w:ascii="Arial" w:eastAsia="Times New Roman" w:hAnsi="Arial" w:cs="Arial"/>
          <w:color w:val="181D20"/>
          <w:spacing w:val="1"/>
          <w:sz w:val="27"/>
          <w:szCs w:val="27"/>
          <w:lang w:eastAsia="en-IN"/>
        </w:rPr>
        <w:t xml:space="preserve"> laws?</w:t>
      </w:r>
    </w:p>
    <w:p w:rsidR="00800965" w:rsidRPr="00800965" w:rsidRDefault="00800965" w:rsidP="00800965">
      <w:pPr>
        <w:spacing w:after="0" w:line="240" w:lineRule="auto"/>
        <w:rPr>
          <w:rFonts w:ascii="Times New Roman" w:eastAsia="Times New Roman" w:hAnsi="Times New Roman" w:cs="Times New Roman"/>
          <w:sz w:val="24"/>
          <w:szCs w:val="24"/>
          <w:lang w:eastAsia="en-IN"/>
        </w:rPr>
      </w:pP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 xml:space="preserve">To ensure compliance with labour laws, MSMEs should maintain proper records of employee details, adhere to minimum wage requirements, comply with working hour </w:t>
      </w:r>
      <w:r w:rsidRPr="00800965">
        <w:rPr>
          <w:rFonts w:ascii="Arial" w:eastAsia="Times New Roman" w:hAnsi="Arial" w:cs="Arial"/>
          <w:color w:val="707375"/>
          <w:spacing w:val="1"/>
          <w:sz w:val="24"/>
          <w:szCs w:val="24"/>
          <w:shd w:val="clear" w:color="auto" w:fill="FFFFFF"/>
          <w:lang w:eastAsia="en-IN"/>
        </w:rPr>
        <w:lastRenderedPageBreak/>
        <w:t>regulations, provide a safe working environment, and comply with social security obligations.</w:t>
      </w:r>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lang w:eastAsia="en-IN"/>
        </w:rPr>
        <w:br/>
      </w:r>
    </w:p>
    <w:p w:rsidR="00800965" w:rsidRPr="00800965" w:rsidRDefault="00800965" w:rsidP="00800965">
      <w:pPr>
        <w:shd w:val="clear" w:color="auto" w:fill="FFFFFF"/>
        <w:spacing w:after="0" w:line="240" w:lineRule="auto"/>
        <w:outlineLvl w:val="2"/>
        <w:rPr>
          <w:rFonts w:ascii="Arial" w:eastAsia="Times New Roman" w:hAnsi="Arial" w:cs="Arial"/>
          <w:color w:val="181D20"/>
          <w:spacing w:val="1"/>
          <w:sz w:val="27"/>
          <w:szCs w:val="27"/>
          <w:lang w:eastAsia="en-IN"/>
        </w:rPr>
      </w:pPr>
      <w:r w:rsidRPr="00800965">
        <w:rPr>
          <w:rFonts w:ascii="Arial" w:eastAsia="Times New Roman" w:hAnsi="Arial" w:cs="Arial"/>
          <w:color w:val="181D20"/>
          <w:spacing w:val="1"/>
          <w:sz w:val="27"/>
          <w:szCs w:val="27"/>
          <w:lang w:eastAsia="en-IN"/>
        </w:rPr>
        <w:t>4. What are some best practices for managing compliance obligations?</w:t>
      </w:r>
    </w:p>
    <w:p w:rsidR="00F47038" w:rsidRDefault="00800965" w:rsidP="00800965">
      <w:r w:rsidRPr="00800965">
        <w:rPr>
          <w:rFonts w:ascii="Arial" w:eastAsia="Times New Roman" w:hAnsi="Arial" w:cs="Arial"/>
          <w:color w:val="707375"/>
          <w:spacing w:val="1"/>
          <w:sz w:val="24"/>
          <w:szCs w:val="24"/>
          <w:lang w:eastAsia="en-IN"/>
        </w:rPr>
        <w:br/>
      </w:r>
      <w:r w:rsidRPr="00800965">
        <w:rPr>
          <w:rFonts w:ascii="Arial" w:eastAsia="Times New Roman" w:hAnsi="Arial" w:cs="Arial"/>
          <w:color w:val="707375"/>
          <w:spacing w:val="1"/>
          <w:sz w:val="24"/>
          <w:szCs w:val="24"/>
          <w:shd w:val="clear" w:color="auto" w:fill="FFFFFF"/>
          <w:lang w:eastAsia="en-IN"/>
        </w:rPr>
        <w:t>Some best practices for managing compliance obligations include implementing a robust compliance management system, appointing a dedicated compliance officer, regularly auditing and reviewing compliance processes, staying updated with regulatory changes, and seeking professional guidance when needed.</w:t>
      </w:r>
    </w:p>
    <w:sectPr w:rsidR="00F47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65"/>
    <w:rsid w:val="001305BE"/>
    <w:rsid w:val="00800965"/>
    <w:rsid w:val="00E976A5"/>
    <w:rsid w:val="00F470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284E6-8E6E-4686-9731-B43D7E61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0096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0096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96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00965"/>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9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Mathur</dc:creator>
  <cp:keywords/>
  <dc:description/>
  <cp:lastModifiedBy>Navneet Mathur</cp:lastModifiedBy>
  <cp:revision>1</cp:revision>
  <dcterms:created xsi:type="dcterms:W3CDTF">2023-07-17T09:22:00Z</dcterms:created>
  <dcterms:modified xsi:type="dcterms:W3CDTF">2023-07-17T09:24:00Z</dcterms:modified>
</cp:coreProperties>
</file>