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AD9E7" w14:textId="77777777" w:rsidR="00504E71" w:rsidRPr="007D68D8" w:rsidRDefault="00504E71" w:rsidP="00504E71">
      <w:pPr>
        <w:pStyle w:val="HEADING"/>
        <w:spacing w:before="0" w:after="0"/>
        <w:rPr>
          <w:rFonts w:asciiTheme="minorHAnsi" w:hAnsiTheme="minorHAnsi" w:cstheme="minorHAnsi"/>
          <w:sz w:val="32"/>
          <w:szCs w:val="32"/>
          <w:lang w:val="en-GB"/>
        </w:rPr>
      </w:pPr>
      <w:r w:rsidRPr="007D68D8">
        <w:rPr>
          <w:rFonts w:asciiTheme="minorHAnsi" w:hAnsiTheme="minorHAnsi" w:cstheme="minorHAnsi"/>
          <w:sz w:val="32"/>
          <w:szCs w:val="32"/>
          <w:lang w:val="en-GB"/>
        </w:rPr>
        <w:t>Terms of Reference</w:t>
      </w:r>
    </w:p>
    <w:p w14:paraId="14262400" w14:textId="77777777" w:rsidR="00504E71" w:rsidRDefault="00504E71" w:rsidP="00504E71">
      <w:pPr>
        <w:jc w:val="both"/>
        <w:rPr>
          <w:rFonts w:asciiTheme="minorHAnsi" w:hAnsiTheme="minorHAnsi" w:cstheme="minorHAnsi"/>
          <w:color w:val="FF0000"/>
          <w:sz w:val="22"/>
          <w:szCs w:val="22"/>
        </w:rPr>
      </w:pPr>
    </w:p>
    <w:p w14:paraId="163FC681" w14:textId="77777777" w:rsidR="00504E71" w:rsidRDefault="00504E71" w:rsidP="00504E71">
      <w:pPr>
        <w:jc w:val="both"/>
        <w:rPr>
          <w:rFonts w:asciiTheme="minorHAnsi" w:hAnsiTheme="minorHAnsi" w:cstheme="minorHAnsi"/>
          <w:color w:val="FF0000"/>
          <w:sz w:val="22"/>
          <w:szCs w:val="22"/>
        </w:rPr>
      </w:pPr>
      <w:r>
        <w:rPr>
          <w:rFonts w:asciiTheme="minorHAnsi" w:hAnsiTheme="minorHAnsi" w:cstheme="minorHAnsi"/>
          <w:color w:val="FF0000"/>
          <w:sz w:val="22"/>
          <w:szCs w:val="22"/>
        </w:rPr>
        <w:t>Statement of Need</w:t>
      </w:r>
    </w:p>
    <w:p w14:paraId="27AF06AD" w14:textId="77777777" w:rsidR="00504E71" w:rsidRPr="007D68D8" w:rsidRDefault="00504E71" w:rsidP="00504E71">
      <w:pPr>
        <w:jc w:val="both"/>
        <w:rPr>
          <w:rFonts w:asciiTheme="minorHAnsi" w:hAnsiTheme="minorHAnsi" w:cstheme="minorHAnsi"/>
          <w:color w:val="FF0000"/>
          <w:sz w:val="22"/>
          <w:szCs w:val="22"/>
        </w:rPr>
      </w:pPr>
    </w:p>
    <w:p w14:paraId="009FDD17" w14:textId="77777777" w:rsidR="00504E71" w:rsidRDefault="00504E71" w:rsidP="00504E71">
      <w:pPr>
        <w:jc w:val="both"/>
        <w:rPr>
          <w:rFonts w:asciiTheme="minorHAnsi" w:hAnsiTheme="minorHAnsi" w:cstheme="minorHAnsi"/>
          <w:sz w:val="22"/>
          <w:szCs w:val="22"/>
        </w:rPr>
      </w:pPr>
      <w:r w:rsidRPr="007D68D8">
        <w:rPr>
          <w:rFonts w:asciiTheme="minorHAnsi" w:hAnsiTheme="minorHAnsi" w:cstheme="minorHAnsi"/>
          <w:sz w:val="22"/>
          <w:szCs w:val="22"/>
        </w:rPr>
        <w:t>UN Women Regional Office for Arab States (ROAS) requires a vendor to conduct a study on Access to Justice for Women with Disabilities in the Arab States</w:t>
      </w:r>
    </w:p>
    <w:p w14:paraId="0FF15E5A" w14:textId="77777777" w:rsidR="00504E71" w:rsidRPr="007D68D8" w:rsidRDefault="00504E71" w:rsidP="00504E71">
      <w:pPr>
        <w:jc w:val="both"/>
        <w:rPr>
          <w:rFonts w:asciiTheme="minorHAnsi" w:hAnsiTheme="minorHAnsi" w:cstheme="minorHAnsi"/>
          <w:sz w:val="22"/>
          <w:szCs w:val="22"/>
        </w:rPr>
      </w:pPr>
    </w:p>
    <w:p w14:paraId="39BD4F81" w14:textId="77777777" w:rsidR="00504E71" w:rsidRDefault="00504E71" w:rsidP="00504E71">
      <w:pPr>
        <w:jc w:val="both"/>
        <w:rPr>
          <w:rFonts w:asciiTheme="minorHAnsi" w:hAnsiTheme="minorHAnsi" w:cstheme="minorHAnsi"/>
          <w:color w:val="FF0000"/>
          <w:sz w:val="22"/>
          <w:szCs w:val="22"/>
        </w:rPr>
      </w:pPr>
      <w:r w:rsidRPr="007D68D8">
        <w:rPr>
          <w:rFonts w:asciiTheme="minorHAnsi" w:hAnsiTheme="minorHAnsi" w:cstheme="minorHAnsi"/>
          <w:color w:val="FF0000"/>
          <w:sz w:val="22"/>
          <w:szCs w:val="22"/>
        </w:rPr>
        <w:t>Background information on the project</w:t>
      </w:r>
    </w:p>
    <w:p w14:paraId="2E9FDEAB" w14:textId="77777777" w:rsidR="00504E71" w:rsidRPr="007D68D8" w:rsidRDefault="00504E71" w:rsidP="00504E71">
      <w:pPr>
        <w:jc w:val="both"/>
        <w:rPr>
          <w:rFonts w:asciiTheme="minorHAnsi" w:hAnsiTheme="minorHAnsi" w:cstheme="minorHAnsi"/>
          <w:sz w:val="22"/>
          <w:szCs w:val="22"/>
        </w:rPr>
      </w:pPr>
    </w:p>
    <w:p w14:paraId="462E1D56" w14:textId="77777777" w:rsidR="00504E71" w:rsidRPr="007D68D8" w:rsidRDefault="00504E71" w:rsidP="00504E71">
      <w:pPr>
        <w:jc w:val="both"/>
        <w:rPr>
          <w:rFonts w:asciiTheme="minorHAnsi" w:hAnsiTheme="minorHAnsi" w:cstheme="minorHAnsi"/>
          <w:sz w:val="22"/>
          <w:szCs w:val="22"/>
        </w:rPr>
      </w:pPr>
      <w:r w:rsidRPr="007D68D8">
        <w:rPr>
          <w:rFonts w:asciiTheme="minorHAnsi" w:hAnsiTheme="minorHAnsi" w:cstheme="minorHAnsi"/>
          <w:sz w:val="22"/>
          <w:szCs w:val="22"/>
        </w:rPr>
        <w:t>Over one billion people worldwide experience some form of disability. Global prevalence is greater for women than men, standing at 19 per cent compared with 12 per cent respectively. In low and middle-income countries, women are estimated to comprise up to three-quarters of persons with disabilities.</w:t>
      </w:r>
      <w:r w:rsidRPr="007D68D8">
        <w:rPr>
          <w:rFonts w:asciiTheme="minorHAnsi" w:hAnsiTheme="minorHAnsi" w:cstheme="minorHAnsi"/>
          <w:sz w:val="22"/>
          <w:szCs w:val="22"/>
          <w:vertAlign w:val="superscript"/>
        </w:rPr>
        <w:footnoteReference w:id="1"/>
      </w:r>
      <w:r w:rsidRPr="007D68D8">
        <w:rPr>
          <w:rFonts w:asciiTheme="minorHAnsi" w:hAnsiTheme="minorHAnsi" w:cstheme="minorHAnsi"/>
          <w:sz w:val="22"/>
          <w:szCs w:val="22"/>
        </w:rPr>
        <w:t xml:space="preserve"> </w:t>
      </w:r>
    </w:p>
    <w:p w14:paraId="72285690" w14:textId="77777777" w:rsidR="00504E71" w:rsidRDefault="00504E71" w:rsidP="00504E71">
      <w:pPr>
        <w:jc w:val="both"/>
        <w:rPr>
          <w:rFonts w:asciiTheme="minorHAnsi" w:hAnsiTheme="minorHAnsi" w:cstheme="minorHAnsi"/>
          <w:sz w:val="22"/>
          <w:szCs w:val="22"/>
        </w:rPr>
      </w:pPr>
      <w:r w:rsidRPr="007D68D8">
        <w:rPr>
          <w:rFonts w:asciiTheme="minorHAnsi" w:hAnsiTheme="minorHAnsi" w:cstheme="minorHAnsi"/>
          <w:sz w:val="22"/>
          <w:szCs w:val="22"/>
        </w:rPr>
        <w:t>Countries in the region report relatively low prevalence of disability, with rates lower than 2 per cent in eight out of 14 countries, and as low as 0.2 per cent in Qatar. Morocco has the highest prevalence rates at 5.1 per cent and 4.8 per cent, respectively.</w:t>
      </w:r>
      <w:r w:rsidRPr="007D68D8">
        <w:rPr>
          <w:rFonts w:asciiTheme="minorHAnsi" w:hAnsiTheme="minorHAnsi" w:cstheme="minorHAnsi"/>
          <w:sz w:val="22"/>
          <w:szCs w:val="22"/>
          <w:vertAlign w:val="superscript"/>
        </w:rPr>
        <w:footnoteReference w:id="2"/>
      </w:r>
      <w:r w:rsidRPr="007D68D8">
        <w:rPr>
          <w:rFonts w:asciiTheme="minorHAnsi" w:hAnsiTheme="minorHAnsi" w:cstheme="minorHAnsi"/>
          <w:sz w:val="22"/>
          <w:szCs w:val="22"/>
        </w:rPr>
        <w:t xml:space="preserve"> In most Arab countries, the prevalence rates are higher among men than among women. This gap is widest in the Syrian Arab Republic, where the male prevalence rate is 1.8 per cent and the female one 1.1 per cent. Morocco and Qatar are the exceptions to the pattern. In Qatar, notably, the female prevalence rate of 0.3 per cent is three times higher than the male, at 0.1 per cent.</w:t>
      </w:r>
      <w:r w:rsidRPr="007D68D8">
        <w:rPr>
          <w:rFonts w:asciiTheme="minorHAnsi" w:hAnsiTheme="minorHAnsi" w:cstheme="minorHAnsi"/>
          <w:sz w:val="22"/>
          <w:szCs w:val="22"/>
          <w:vertAlign w:val="superscript"/>
        </w:rPr>
        <w:footnoteReference w:id="3"/>
      </w:r>
      <w:r w:rsidRPr="007D68D8">
        <w:rPr>
          <w:rFonts w:asciiTheme="minorHAnsi" w:hAnsiTheme="minorHAnsi" w:cstheme="minorHAnsi"/>
          <w:sz w:val="22"/>
          <w:szCs w:val="22"/>
        </w:rPr>
        <w:t xml:space="preserve"> </w:t>
      </w:r>
    </w:p>
    <w:p w14:paraId="108DC8DA" w14:textId="77777777" w:rsidR="00504E71" w:rsidRPr="007D68D8" w:rsidRDefault="00504E71" w:rsidP="00504E71">
      <w:pPr>
        <w:jc w:val="both"/>
        <w:rPr>
          <w:rFonts w:asciiTheme="minorHAnsi" w:hAnsiTheme="minorHAnsi" w:cstheme="minorHAnsi"/>
          <w:sz w:val="22"/>
          <w:szCs w:val="22"/>
        </w:rPr>
      </w:pPr>
    </w:p>
    <w:p w14:paraId="2A5F1476" w14:textId="77777777" w:rsidR="00504E71" w:rsidRDefault="00504E71" w:rsidP="00504E71">
      <w:pPr>
        <w:jc w:val="both"/>
        <w:rPr>
          <w:rFonts w:asciiTheme="minorHAnsi" w:hAnsiTheme="minorHAnsi" w:cstheme="minorHAnsi"/>
          <w:sz w:val="22"/>
          <w:szCs w:val="22"/>
        </w:rPr>
      </w:pPr>
      <w:r w:rsidRPr="007D68D8">
        <w:rPr>
          <w:rFonts w:asciiTheme="minorHAnsi" w:hAnsiTheme="minorHAnsi" w:cstheme="minorHAnsi"/>
          <w:sz w:val="22"/>
          <w:szCs w:val="22"/>
        </w:rPr>
        <w:t xml:space="preserve">Women and girls with disabilities face significant barriers to accessing justice, due to discrimination </w:t>
      </w:r>
      <w:proofErr w:type="gramStart"/>
      <w:r w:rsidRPr="007D68D8">
        <w:rPr>
          <w:rFonts w:asciiTheme="minorHAnsi" w:hAnsiTheme="minorHAnsi" w:cstheme="minorHAnsi"/>
          <w:sz w:val="22"/>
          <w:szCs w:val="22"/>
        </w:rPr>
        <w:t>on the basis of</w:t>
      </w:r>
      <w:proofErr w:type="gramEnd"/>
      <w:r w:rsidRPr="007D68D8">
        <w:rPr>
          <w:rFonts w:asciiTheme="minorHAnsi" w:hAnsiTheme="minorHAnsi" w:cstheme="minorHAnsi"/>
          <w:sz w:val="22"/>
          <w:szCs w:val="22"/>
        </w:rPr>
        <w:t xml:space="preserve"> both gender and disability, accessibility barriers to the justice system, and lack of reasonable accommodations throughout judicial proceedings. </w:t>
      </w:r>
    </w:p>
    <w:p w14:paraId="1CA0AE5D" w14:textId="77777777" w:rsidR="00504E71" w:rsidRPr="007D68D8" w:rsidRDefault="00504E71" w:rsidP="00504E71">
      <w:pPr>
        <w:jc w:val="both"/>
        <w:rPr>
          <w:rFonts w:asciiTheme="minorHAnsi" w:hAnsiTheme="minorHAnsi" w:cstheme="minorHAnsi"/>
          <w:sz w:val="22"/>
          <w:szCs w:val="22"/>
        </w:rPr>
      </w:pPr>
    </w:p>
    <w:p w14:paraId="5B4DE1CD" w14:textId="77777777" w:rsidR="00504E71" w:rsidRDefault="00504E71" w:rsidP="00504E71">
      <w:pPr>
        <w:jc w:val="both"/>
        <w:rPr>
          <w:rFonts w:asciiTheme="minorHAnsi" w:hAnsiTheme="minorHAnsi" w:cstheme="minorHAnsi"/>
          <w:sz w:val="22"/>
          <w:szCs w:val="22"/>
        </w:rPr>
      </w:pPr>
      <w:r w:rsidRPr="007D68D8">
        <w:rPr>
          <w:rFonts w:asciiTheme="minorHAnsi" w:hAnsiTheme="minorHAnsi" w:cstheme="minorHAnsi"/>
          <w:sz w:val="22"/>
          <w:szCs w:val="22"/>
        </w:rPr>
        <w:t xml:space="preserve">In the 2018 Disability in the Arab Region Study, ESCWA described the social economic situation of persons with disabilities in the Arab Region and progress on Sustainable Development Goals (SDGs) 2, 4, 6, 7 and 8. It however did not particularly address the situation of women with disabilities, nor did it cover SDG 16 and the promotion of “peaceful and inclusive societies for sustainable development”, the provision of “access to justice for all” and building “effective, accountable and inclusive institutions at all levels.”  </w:t>
      </w:r>
    </w:p>
    <w:p w14:paraId="55DC6244" w14:textId="77777777" w:rsidR="00504E71" w:rsidRPr="007D68D8" w:rsidRDefault="00504E71" w:rsidP="00504E71">
      <w:pPr>
        <w:jc w:val="both"/>
        <w:rPr>
          <w:rFonts w:asciiTheme="minorHAnsi" w:hAnsiTheme="minorHAnsi" w:cstheme="minorHAnsi"/>
          <w:sz w:val="22"/>
          <w:szCs w:val="22"/>
        </w:rPr>
      </w:pPr>
    </w:p>
    <w:p w14:paraId="02B2C105" w14:textId="77777777" w:rsidR="00504E71" w:rsidRDefault="00504E71" w:rsidP="00504E71">
      <w:pPr>
        <w:jc w:val="both"/>
        <w:rPr>
          <w:rFonts w:asciiTheme="minorHAnsi" w:hAnsiTheme="minorHAnsi" w:cstheme="minorHAnsi"/>
          <w:sz w:val="22"/>
          <w:szCs w:val="22"/>
        </w:rPr>
      </w:pPr>
      <w:r w:rsidRPr="007D68D8">
        <w:rPr>
          <w:rFonts w:asciiTheme="minorHAnsi" w:hAnsiTheme="minorHAnsi" w:cstheme="minorHAnsi"/>
          <w:sz w:val="22"/>
          <w:szCs w:val="22"/>
        </w:rPr>
        <w:t>“Access to Justice” is a broad concept, encompassing peoples’ effective access to the systems, procedures, information, and locations used in the administration of justice, including all judicial and quasi-judicial settings, religious, community, and/or customary legal systems, and law enforcement.</w:t>
      </w:r>
      <w:r w:rsidRPr="007D68D8">
        <w:rPr>
          <w:rFonts w:asciiTheme="minorHAnsi" w:hAnsiTheme="minorHAnsi" w:cstheme="minorHAnsi"/>
          <w:sz w:val="22"/>
          <w:szCs w:val="22"/>
          <w:vertAlign w:val="superscript"/>
        </w:rPr>
        <w:footnoteReference w:id="4"/>
      </w:r>
      <w:r w:rsidRPr="007D68D8">
        <w:rPr>
          <w:rFonts w:asciiTheme="minorHAnsi" w:hAnsiTheme="minorHAnsi" w:cstheme="minorHAnsi"/>
          <w:sz w:val="22"/>
          <w:szCs w:val="22"/>
        </w:rPr>
        <w:t xml:space="preserve"> In this context, access refers to both direct or indirect participation in these systems, including as complainants, defendants, witnesses, and prisoners.</w:t>
      </w:r>
      <w:r w:rsidRPr="007D68D8">
        <w:rPr>
          <w:rFonts w:asciiTheme="minorHAnsi" w:hAnsiTheme="minorHAnsi" w:cstheme="minorHAnsi"/>
          <w:sz w:val="22"/>
          <w:szCs w:val="22"/>
          <w:vertAlign w:val="superscript"/>
        </w:rPr>
        <w:footnoteReference w:id="5"/>
      </w:r>
    </w:p>
    <w:p w14:paraId="1EA38907" w14:textId="77777777" w:rsidR="00504E71" w:rsidRPr="007D68D8" w:rsidRDefault="00504E71" w:rsidP="00504E71">
      <w:pPr>
        <w:jc w:val="both"/>
        <w:rPr>
          <w:rFonts w:asciiTheme="minorHAnsi" w:hAnsiTheme="minorHAnsi" w:cstheme="minorHAnsi"/>
          <w:sz w:val="22"/>
          <w:szCs w:val="22"/>
        </w:rPr>
      </w:pPr>
    </w:p>
    <w:p w14:paraId="02CC8B78" w14:textId="77777777" w:rsidR="00504E71" w:rsidRDefault="00504E71" w:rsidP="00504E71">
      <w:pPr>
        <w:jc w:val="both"/>
        <w:rPr>
          <w:rFonts w:asciiTheme="minorHAnsi" w:hAnsiTheme="minorHAnsi" w:cstheme="minorHAnsi"/>
          <w:sz w:val="22"/>
          <w:szCs w:val="22"/>
        </w:rPr>
      </w:pPr>
      <w:r w:rsidRPr="007D68D8">
        <w:rPr>
          <w:rFonts w:asciiTheme="minorHAnsi" w:hAnsiTheme="minorHAnsi" w:cstheme="minorHAnsi"/>
          <w:sz w:val="22"/>
          <w:szCs w:val="22"/>
        </w:rPr>
        <w:t xml:space="preserve">Women with disabilities also encounter barriers to attaining positions as lawyers, judges, and other officials in the justice system, and may be excluded from serving on juries. Such barriers not only limit the </w:t>
      </w:r>
      <w:r w:rsidRPr="007D68D8">
        <w:rPr>
          <w:rFonts w:asciiTheme="minorHAnsi" w:hAnsiTheme="minorHAnsi" w:cstheme="minorHAnsi"/>
          <w:sz w:val="22"/>
          <w:szCs w:val="22"/>
        </w:rPr>
        <w:lastRenderedPageBreak/>
        <w:t xml:space="preserve">ability of women with disabilities to use the justice system, but also limit their ability to contribute to the administration of justice to </w:t>
      </w:r>
      <w:proofErr w:type="gramStart"/>
      <w:r w:rsidRPr="007D68D8">
        <w:rPr>
          <w:rFonts w:asciiTheme="minorHAnsi" w:hAnsiTheme="minorHAnsi" w:cstheme="minorHAnsi"/>
          <w:sz w:val="22"/>
          <w:szCs w:val="22"/>
        </w:rPr>
        <w:t>society as a whole</w:t>
      </w:r>
      <w:proofErr w:type="gramEnd"/>
      <w:r w:rsidRPr="007D68D8">
        <w:rPr>
          <w:rFonts w:asciiTheme="minorHAnsi" w:hAnsiTheme="minorHAnsi" w:cstheme="minorHAnsi"/>
          <w:sz w:val="22"/>
          <w:szCs w:val="22"/>
        </w:rPr>
        <w:t xml:space="preserve">. Access to justice is interdependent with </w:t>
      </w:r>
      <w:proofErr w:type="gramStart"/>
      <w:r w:rsidRPr="007D68D8">
        <w:rPr>
          <w:rFonts w:asciiTheme="minorHAnsi" w:hAnsiTheme="minorHAnsi" w:cstheme="minorHAnsi"/>
          <w:sz w:val="22"/>
          <w:szCs w:val="22"/>
        </w:rPr>
        <w:t>a number of</w:t>
      </w:r>
      <w:proofErr w:type="gramEnd"/>
      <w:r w:rsidRPr="007D68D8">
        <w:rPr>
          <w:rFonts w:asciiTheme="minorHAnsi" w:hAnsiTheme="minorHAnsi" w:cstheme="minorHAnsi"/>
          <w:sz w:val="22"/>
          <w:szCs w:val="22"/>
        </w:rPr>
        <w:t xml:space="preserve"> fundamental rights. </w:t>
      </w:r>
    </w:p>
    <w:p w14:paraId="7C0F2E5E" w14:textId="77777777" w:rsidR="00504E71" w:rsidRDefault="00504E71" w:rsidP="00504E71">
      <w:pPr>
        <w:jc w:val="both"/>
        <w:rPr>
          <w:rFonts w:asciiTheme="minorHAnsi" w:hAnsiTheme="minorHAnsi" w:cstheme="minorHAnsi"/>
          <w:sz w:val="22"/>
          <w:szCs w:val="22"/>
        </w:rPr>
      </w:pPr>
      <w:r w:rsidRPr="007D68D8">
        <w:rPr>
          <w:rFonts w:asciiTheme="minorHAnsi" w:hAnsiTheme="minorHAnsi" w:cstheme="minorHAnsi"/>
          <w:sz w:val="22"/>
          <w:szCs w:val="22"/>
        </w:rPr>
        <w:t>These fundamental rights protected in a number of international and regional human rights treaties, including the International Covenant on Civil and Political Rights (ICCPR), the Convention on the Rights of Persons with Disabilities (CRPD) and the Convention on the Elimination of All Forms of Discrimination against Women (CEDAW), underpin the right of women with disabilities to access justice. These include the rights to:</w:t>
      </w:r>
    </w:p>
    <w:p w14:paraId="6D72B9B2" w14:textId="77777777" w:rsidR="00504E71" w:rsidRPr="007D68D8" w:rsidRDefault="00504E71" w:rsidP="00504E71">
      <w:pPr>
        <w:jc w:val="both"/>
        <w:rPr>
          <w:rFonts w:asciiTheme="minorHAnsi" w:hAnsiTheme="minorHAnsi" w:cstheme="minorHAnsi"/>
          <w:sz w:val="22"/>
          <w:szCs w:val="22"/>
        </w:rPr>
      </w:pPr>
    </w:p>
    <w:p w14:paraId="654AC1A5" w14:textId="77777777" w:rsidR="00504E71" w:rsidRPr="007D68D8" w:rsidRDefault="00504E71" w:rsidP="00504E71">
      <w:pPr>
        <w:numPr>
          <w:ilvl w:val="0"/>
          <w:numId w:val="11"/>
        </w:numPr>
        <w:jc w:val="both"/>
        <w:rPr>
          <w:rFonts w:asciiTheme="minorHAnsi" w:hAnsiTheme="minorHAnsi" w:cstheme="minorHAnsi"/>
          <w:sz w:val="22"/>
          <w:szCs w:val="22"/>
        </w:rPr>
      </w:pPr>
      <w:r w:rsidRPr="007D68D8">
        <w:rPr>
          <w:rFonts w:asciiTheme="minorHAnsi" w:hAnsiTheme="minorHAnsi" w:cstheme="minorHAnsi"/>
          <w:sz w:val="22"/>
          <w:szCs w:val="22"/>
        </w:rPr>
        <w:t>Equal recognition before the law and access to justice</w:t>
      </w:r>
      <w:r w:rsidRPr="007D68D8">
        <w:rPr>
          <w:rFonts w:asciiTheme="minorHAnsi" w:hAnsiTheme="minorHAnsi" w:cstheme="minorHAnsi"/>
          <w:sz w:val="22"/>
          <w:szCs w:val="22"/>
          <w:vertAlign w:val="superscript"/>
        </w:rPr>
        <w:footnoteReference w:id="6"/>
      </w:r>
    </w:p>
    <w:p w14:paraId="7FF3CB00" w14:textId="77777777" w:rsidR="00504E71" w:rsidRPr="007D68D8" w:rsidRDefault="00504E71" w:rsidP="00504E71">
      <w:pPr>
        <w:numPr>
          <w:ilvl w:val="0"/>
          <w:numId w:val="11"/>
        </w:numPr>
        <w:jc w:val="both"/>
        <w:rPr>
          <w:rFonts w:asciiTheme="minorHAnsi" w:hAnsiTheme="minorHAnsi" w:cstheme="minorHAnsi"/>
          <w:sz w:val="22"/>
          <w:szCs w:val="22"/>
        </w:rPr>
      </w:pPr>
      <w:r w:rsidRPr="007D68D8">
        <w:rPr>
          <w:rFonts w:asciiTheme="minorHAnsi" w:hAnsiTheme="minorHAnsi" w:cstheme="minorHAnsi"/>
          <w:sz w:val="22"/>
          <w:szCs w:val="22"/>
        </w:rPr>
        <w:t>Equality and non-discrimination</w:t>
      </w:r>
      <w:r w:rsidRPr="007D68D8">
        <w:rPr>
          <w:rFonts w:asciiTheme="minorHAnsi" w:hAnsiTheme="minorHAnsi" w:cstheme="minorHAnsi"/>
          <w:sz w:val="22"/>
          <w:szCs w:val="22"/>
          <w:vertAlign w:val="superscript"/>
        </w:rPr>
        <w:footnoteReference w:id="7"/>
      </w:r>
      <w:r w:rsidRPr="007D68D8">
        <w:rPr>
          <w:rFonts w:asciiTheme="minorHAnsi" w:hAnsiTheme="minorHAnsi" w:cstheme="minorHAnsi"/>
          <w:sz w:val="22"/>
          <w:szCs w:val="22"/>
        </w:rPr>
        <w:t xml:space="preserve"> </w:t>
      </w:r>
    </w:p>
    <w:p w14:paraId="46BFCD10" w14:textId="77777777" w:rsidR="00504E71" w:rsidRPr="007D68D8" w:rsidRDefault="00504E71" w:rsidP="00504E71">
      <w:pPr>
        <w:numPr>
          <w:ilvl w:val="0"/>
          <w:numId w:val="11"/>
        </w:numPr>
        <w:jc w:val="both"/>
        <w:rPr>
          <w:rFonts w:asciiTheme="minorHAnsi" w:hAnsiTheme="minorHAnsi" w:cstheme="minorHAnsi"/>
          <w:sz w:val="22"/>
          <w:szCs w:val="22"/>
        </w:rPr>
      </w:pPr>
      <w:r w:rsidRPr="007D68D8">
        <w:rPr>
          <w:rFonts w:asciiTheme="minorHAnsi" w:hAnsiTheme="minorHAnsi" w:cstheme="minorHAnsi"/>
          <w:sz w:val="22"/>
          <w:szCs w:val="22"/>
        </w:rPr>
        <w:t>Accessibility</w:t>
      </w:r>
      <w:r w:rsidRPr="007D68D8">
        <w:rPr>
          <w:rFonts w:asciiTheme="minorHAnsi" w:hAnsiTheme="minorHAnsi" w:cstheme="minorHAnsi"/>
          <w:sz w:val="22"/>
          <w:szCs w:val="22"/>
          <w:vertAlign w:val="superscript"/>
        </w:rPr>
        <w:footnoteReference w:id="8"/>
      </w:r>
    </w:p>
    <w:p w14:paraId="472AC7A3" w14:textId="77777777" w:rsidR="00504E71" w:rsidRPr="007D68D8" w:rsidRDefault="00504E71" w:rsidP="00504E71">
      <w:pPr>
        <w:numPr>
          <w:ilvl w:val="0"/>
          <w:numId w:val="11"/>
        </w:numPr>
        <w:jc w:val="both"/>
        <w:rPr>
          <w:rFonts w:asciiTheme="minorHAnsi" w:hAnsiTheme="minorHAnsi" w:cstheme="minorHAnsi"/>
          <w:sz w:val="22"/>
          <w:szCs w:val="22"/>
        </w:rPr>
      </w:pPr>
      <w:r w:rsidRPr="007D68D8">
        <w:rPr>
          <w:rFonts w:asciiTheme="minorHAnsi" w:hAnsiTheme="minorHAnsi" w:cstheme="minorHAnsi"/>
          <w:sz w:val="22"/>
          <w:szCs w:val="22"/>
        </w:rPr>
        <w:t>Effective remedy</w:t>
      </w:r>
      <w:r w:rsidRPr="007D68D8">
        <w:rPr>
          <w:rFonts w:asciiTheme="minorHAnsi" w:hAnsiTheme="minorHAnsi" w:cstheme="minorHAnsi"/>
          <w:sz w:val="22"/>
          <w:szCs w:val="22"/>
          <w:vertAlign w:val="superscript"/>
        </w:rPr>
        <w:footnoteReference w:id="9"/>
      </w:r>
    </w:p>
    <w:p w14:paraId="4F399679" w14:textId="77777777" w:rsidR="00504E71" w:rsidRPr="007D68D8" w:rsidRDefault="00504E71" w:rsidP="00504E71">
      <w:pPr>
        <w:numPr>
          <w:ilvl w:val="0"/>
          <w:numId w:val="11"/>
        </w:numPr>
        <w:jc w:val="both"/>
        <w:rPr>
          <w:rFonts w:asciiTheme="minorHAnsi" w:hAnsiTheme="minorHAnsi" w:cstheme="minorHAnsi"/>
          <w:sz w:val="22"/>
          <w:szCs w:val="22"/>
        </w:rPr>
      </w:pPr>
      <w:r w:rsidRPr="007D68D8">
        <w:rPr>
          <w:rFonts w:asciiTheme="minorHAnsi" w:hAnsiTheme="minorHAnsi" w:cstheme="minorHAnsi"/>
          <w:sz w:val="22"/>
          <w:szCs w:val="22"/>
        </w:rPr>
        <w:t>Fair trial</w:t>
      </w:r>
      <w:r w:rsidRPr="007D68D8">
        <w:rPr>
          <w:rFonts w:asciiTheme="minorHAnsi" w:hAnsiTheme="minorHAnsi" w:cstheme="minorHAnsi"/>
          <w:sz w:val="22"/>
          <w:szCs w:val="22"/>
          <w:vertAlign w:val="superscript"/>
        </w:rPr>
        <w:footnoteReference w:id="10"/>
      </w:r>
    </w:p>
    <w:p w14:paraId="6F4E8D20" w14:textId="77777777" w:rsidR="00504E71" w:rsidRPr="007D68D8" w:rsidRDefault="00504E71" w:rsidP="00504E71">
      <w:pPr>
        <w:numPr>
          <w:ilvl w:val="0"/>
          <w:numId w:val="11"/>
        </w:numPr>
        <w:jc w:val="both"/>
        <w:rPr>
          <w:rFonts w:asciiTheme="minorHAnsi" w:hAnsiTheme="minorHAnsi" w:cstheme="minorHAnsi"/>
          <w:sz w:val="22"/>
          <w:szCs w:val="22"/>
        </w:rPr>
      </w:pPr>
      <w:r w:rsidRPr="007D68D8">
        <w:rPr>
          <w:rFonts w:asciiTheme="minorHAnsi" w:hAnsiTheme="minorHAnsi" w:cstheme="minorHAnsi"/>
          <w:sz w:val="22"/>
          <w:szCs w:val="22"/>
        </w:rPr>
        <w:t>Legal assistance</w:t>
      </w:r>
      <w:r w:rsidRPr="007D68D8">
        <w:rPr>
          <w:rFonts w:asciiTheme="minorHAnsi" w:hAnsiTheme="minorHAnsi" w:cstheme="minorHAnsi"/>
          <w:sz w:val="22"/>
          <w:szCs w:val="22"/>
          <w:vertAlign w:val="superscript"/>
        </w:rPr>
        <w:footnoteReference w:id="11"/>
      </w:r>
    </w:p>
    <w:p w14:paraId="3388F76B" w14:textId="77777777" w:rsidR="00504E71" w:rsidRDefault="00504E71" w:rsidP="00504E71">
      <w:pPr>
        <w:numPr>
          <w:ilvl w:val="0"/>
          <w:numId w:val="11"/>
        </w:numPr>
        <w:jc w:val="both"/>
        <w:rPr>
          <w:rFonts w:asciiTheme="minorHAnsi" w:hAnsiTheme="minorHAnsi" w:cstheme="minorHAnsi"/>
          <w:sz w:val="22"/>
          <w:szCs w:val="22"/>
        </w:rPr>
      </w:pPr>
      <w:r w:rsidRPr="007D68D8">
        <w:rPr>
          <w:rFonts w:asciiTheme="minorHAnsi" w:hAnsiTheme="minorHAnsi" w:cstheme="minorHAnsi"/>
          <w:sz w:val="22"/>
          <w:szCs w:val="22"/>
        </w:rPr>
        <w:t>Effective participation in all legal proceedings through the provision of procedural, age-appropriate, and disability-related accommodations</w:t>
      </w:r>
      <w:r w:rsidRPr="007D68D8">
        <w:rPr>
          <w:rFonts w:asciiTheme="minorHAnsi" w:hAnsiTheme="minorHAnsi" w:cstheme="minorHAnsi"/>
          <w:sz w:val="22"/>
          <w:szCs w:val="22"/>
          <w:vertAlign w:val="superscript"/>
        </w:rPr>
        <w:footnoteReference w:id="12"/>
      </w:r>
    </w:p>
    <w:p w14:paraId="288881D7" w14:textId="77777777" w:rsidR="00504E71" w:rsidRPr="007D68D8" w:rsidRDefault="00504E71" w:rsidP="00504E71">
      <w:pPr>
        <w:ind w:left="720"/>
        <w:jc w:val="both"/>
        <w:rPr>
          <w:rFonts w:asciiTheme="minorHAnsi" w:hAnsiTheme="minorHAnsi" w:cstheme="minorHAnsi"/>
          <w:sz w:val="22"/>
          <w:szCs w:val="22"/>
        </w:rPr>
      </w:pPr>
    </w:p>
    <w:p w14:paraId="17E9D0E7" w14:textId="77777777" w:rsidR="00504E71" w:rsidRPr="007D68D8" w:rsidRDefault="00504E71" w:rsidP="00504E71">
      <w:pPr>
        <w:jc w:val="both"/>
        <w:rPr>
          <w:rFonts w:asciiTheme="minorHAnsi" w:hAnsiTheme="minorHAnsi" w:cstheme="minorHAnsi"/>
          <w:sz w:val="22"/>
          <w:szCs w:val="22"/>
        </w:rPr>
      </w:pPr>
      <w:r w:rsidRPr="007D68D8">
        <w:rPr>
          <w:rFonts w:asciiTheme="minorHAnsi" w:hAnsiTheme="minorHAnsi" w:cstheme="minorHAnsi"/>
          <w:noProof/>
          <w:sz w:val="22"/>
          <w:szCs w:val="22"/>
          <w:lang w:val="en-US"/>
        </w:rPr>
        <mc:AlternateContent>
          <mc:Choice Requires="wps">
            <w:drawing>
              <wp:anchor distT="0" distB="0" distL="114300" distR="114300" simplePos="0" relativeHeight="251659264" behindDoc="0" locked="0" layoutInCell="1" allowOverlap="1" wp14:anchorId="5FE0E45B" wp14:editId="51A56B20">
                <wp:simplePos x="0" y="0"/>
                <wp:positionH relativeFrom="column">
                  <wp:posOffset>40005</wp:posOffset>
                </wp:positionH>
                <wp:positionV relativeFrom="paragraph">
                  <wp:posOffset>1087755</wp:posOffset>
                </wp:positionV>
                <wp:extent cx="5695950" cy="685800"/>
                <wp:effectExtent l="0" t="0" r="19050" b="12700"/>
                <wp:wrapTopAndBottom/>
                <wp:docPr id="1" name="Text Box 1"/>
                <wp:cNvGraphicFramePr/>
                <a:graphic xmlns:a="http://schemas.openxmlformats.org/drawingml/2006/main">
                  <a:graphicData uri="http://schemas.microsoft.com/office/word/2010/wordprocessingShape">
                    <wps:wsp>
                      <wps:cNvSpPr txBox="1"/>
                      <wps:spPr>
                        <a:xfrm>
                          <a:off x="0" y="0"/>
                          <a:ext cx="5695950" cy="685800"/>
                        </a:xfrm>
                        <a:prstGeom prst="rect">
                          <a:avLst/>
                        </a:prstGeom>
                        <a:solidFill>
                          <a:schemeClr val="lt1"/>
                        </a:solidFill>
                        <a:ln w="6350">
                          <a:solidFill>
                            <a:prstClr val="black"/>
                          </a:solidFill>
                        </a:ln>
                      </wps:spPr>
                      <wps:txbx>
                        <w:txbxContent>
                          <w:p w14:paraId="31AF5872" w14:textId="77777777" w:rsidR="00504E71" w:rsidRPr="007D68D8" w:rsidRDefault="00504E71" w:rsidP="00504E71">
                            <w:pPr>
                              <w:jc w:val="both"/>
                              <w:rPr>
                                <w:rFonts w:asciiTheme="minorHAnsi" w:hAnsiTheme="minorHAnsi" w:cstheme="minorHAnsi"/>
                                <w:i/>
                                <w:sz w:val="21"/>
                              </w:rPr>
                            </w:pPr>
                            <w:r w:rsidRPr="00443D54">
                              <w:rPr>
                                <w:i/>
                                <w:sz w:val="21"/>
                              </w:rPr>
                              <w:t>“</w:t>
                            </w:r>
                            <w:r w:rsidRPr="007D68D8">
                              <w:rPr>
                                <w:rFonts w:asciiTheme="minorHAnsi" w:hAnsiTheme="minorHAnsi" w:cstheme="minorHAnsi"/>
                                <w:i/>
                                <w:sz w:val="21"/>
                              </w:rPr>
                              <w:t>Societies will never achieve the SDGs without the full participation of everyone, including people with disabilities. We cannot afford to ignore or marginalize the contributions of 1.5 billion people”</w:t>
                            </w:r>
                          </w:p>
                          <w:p w14:paraId="2EE0D605" w14:textId="77777777" w:rsidR="00504E71" w:rsidRPr="007D68D8" w:rsidRDefault="00504E71" w:rsidP="00504E71">
                            <w:pPr>
                              <w:jc w:val="both"/>
                              <w:rPr>
                                <w:rFonts w:asciiTheme="minorHAnsi" w:hAnsiTheme="minorHAnsi" w:cstheme="minorHAnsi"/>
                                <w:i/>
                                <w:sz w:val="10"/>
                              </w:rPr>
                            </w:pPr>
                          </w:p>
                          <w:p w14:paraId="027F5809" w14:textId="77777777" w:rsidR="00504E71" w:rsidRPr="007D68D8" w:rsidRDefault="00504E71" w:rsidP="00504E71">
                            <w:pPr>
                              <w:jc w:val="right"/>
                              <w:rPr>
                                <w:rFonts w:asciiTheme="minorHAnsi" w:hAnsiTheme="minorHAnsi" w:cstheme="minorHAnsi"/>
                                <w:sz w:val="21"/>
                              </w:rPr>
                            </w:pPr>
                            <w:r w:rsidRPr="007D68D8">
                              <w:rPr>
                                <w:rFonts w:asciiTheme="minorHAnsi" w:hAnsiTheme="minorHAnsi" w:cstheme="minorHAnsi"/>
                                <w:sz w:val="21"/>
                              </w:rPr>
                              <w:t>António Guterres, UN Secretary-General</w:t>
                            </w:r>
                          </w:p>
                          <w:p w14:paraId="6A60F90E" w14:textId="77777777" w:rsidR="00504E71" w:rsidRDefault="00504E71" w:rsidP="00504E7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E0E45B" id="_x0000_t202" coordsize="21600,21600" o:spt="202" path="m,l,21600r21600,l21600,xe">
                <v:stroke joinstyle="miter"/>
                <v:path gradientshapeok="t" o:connecttype="rect"/>
              </v:shapetype>
              <v:shape id="Text Box 1" o:spid="_x0000_s1026" type="#_x0000_t202" style="position:absolute;left:0;text-align:left;margin-left:3.15pt;margin-top:85.65pt;width:448.5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" fillcolor="white [3201]" strokeweight=".5pt">
                <v:textbox>
                  <w:txbxContent>
                    <w:p w14:paraId="31AF5872" w14:textId="77777777" w:rsidR="00504E71" w:rsidRPr="007D68D8" w:rsidRDefault="00504E71" w:rsidP="00504E71">
                      <w:pPr>
                        <w:jc w:val="both"/>
                        <w:rPr>
                          <w:rFonts w:asciiTheme="minorHAnsi" w:hAnsiTheme="minorHAnsi" w:cstheme="minorHAnsi"/>
                          <w:i/>
                          <w:sz w:val="21"/>
                        </w:rPr>
                      </w:pPr>
                      <w:r w:rsidRPr="00443D54">
                        <w:rPr>
                          <w:i/>
                          <w:sz w:val="21"/>
                        </w:rPr>
                        <w:t>“</w:t>
                      </w:r>
                      <w:r w:rsidRPr="007D68D8">
                        <w:rPr>
                          <w:rFonts w:asciiTheme="minorHAnsi" w:hAnsiTheme="minorHAnsi" w:cstheme="minorHAnsi"/>
                          <w:i/>
                          <w:sz w:val="21"/>
                        </w:rPr>
                        <w:t>Societies will never achieve the SDGs without the full participation of everyone, including people with disabilities. We cannot afford to ignore or marginalize the contributions of 1.5 billion people”</w:t>
                      </w:r>
                    </w:p>
                    <w:p w14:paraId="2EE0D605" w14:textId="77777777" w:rsidR="00504E71" w:rsidRPr="007D68D8" w:rsidRDefault="00504E71" w:rsidP="00504E71">
                      <w:pPr>
                        <w:jc w:val="both"/>
                        <w:rPr>
                          <w:rFonts w:asciiTheme="minorHAnsi" w:hAnsiTheme="minorHAnsi" w:cstheme="minorHAnsi"/>
                          <w:i/>
                          <w:sz w:val="10"/>
                        </w:rPr>
                      </w:pPr>
                    </w:p>
                    <w:p w14:paraId="027F5809" w14:textId="77777777" w:rsidR="00504E71" w:rsidRPr="007D68D8" w:rsidRDefault="00504E71" w:rsidP="00504E71">
                      <w:pPr>
                        <w:jc w:val="right"/>
                        <w:rPr>
                          <w:rFonts w:asciiTheme="minorHAnsi" w:hAnsiTheme="minorHAnsi" w:cstheme="minorHAnsi"/>
                          <w:sz w:val="21"/>
                        </w:rPr>
                      </w:pPr>
                      <w:r w:rsidRPr="007D68D8">
                        <w:rPr>
                          <w:rFonts w:asciiTheme="minorHAnsi" w:hAnsiTheme="minorHAnsi" w:cstheme="minorHAnsi"/>
                          <w:sz w:val="21"/>
                        </w:rPr>
                        <w:t>António Guterres, UN Secretary-General</w:t>
                      </w:r>
                    </w:p>
                    <w:p w14:paraId="6A60F90E" w14:textId="77777777" w:rsidR="00504E71" w:rsidRDefault="00504E71" w:rsidP="00504E71">
                      <w:pPr>
                        <w:jc w:val="right"/>
                      </w:pPr>
                    </w:p>
                  </w:txbxContent>
                </v:textbox>
                <w10:wrap type="topAndBottom"/>
              </v:shape>
            </w:pict>
          </mc:Fallback>
        </mc:AlternateContent>
      </w:r>
      <w:r w:rsidRPr="007D68D8">
        <w:rPr>
          <w:rFonts w:asciiTheme="minorHAnsi" w:hAnsiTheme="minorHAnsi" w:cstheme="minorHAnsi"/>
          <w:sz w:val="22"/>
          <w:szCs w:val="22"/>
        </w:rPr>
        <w:t>Effective access to justice is essential for challenging human rights violations, such as discrimination in employment or deprivation of parental rights. Lack of access to justice can reinforce vulnerability to rights violations, particularly where perpetrators may feel emboldened when they know the justice system is unlikely to respond to complaints by women with disabilities. Access to justice also depends on the fulfilment of other rights—realization of the right to accessibility, for instance, will often determine whether women with disabilities have effective access to the justice system.</w:t>
      </w:r>
    </w:p>
    <w:p w14:paraId="7FFFDF71" w14:textId="77777777" w:rsidR="00504E71" w:rsidRPr="007D68D8" w:rsidRDefault="00504E71" w:rsidP="00504E71">
      <w:pPr>
        <w:jc w:val="both"/>
        <w:rPr>
          <w:rFonts w:asciiTheme="minorHAnsi" w:hAnsiTheme="minorHAnsi" w:cstheme="minorHAnsi"/>
          <w:sz w:val="22"/>
          <w:szCs w:val="22"/>
        </w:rPr>
      </w:pPr>
    </w:p>
    <w:p w14:paraId="162BF4BB" w14:textId="77777777" w:rsidR="00504E71" w:rsidRPr="007D68D8" w:rsidRDefault="00504E71" w:rsidP="00504E71">
      <w:pPr>
        <w:jc w:val="both"/>
        <w:rPr>
          <w:rFonts w:asciiTheme="minorHAnsi" w:hAnsiTheme="minorHAnsi" w:cstheme="minorHAnsi"/>
          <w:sz w:val="22"/>
          <w:szCs w:val="22"/>
          <w:lang w:val="en-US"/>
        </w:rPr>
      </w:pPr>
      <w:r w:rsidRPr="007D68D8">
        <w:rPr>
          <w:rFonts w:asciiTheme="minorHAnsi" w:hAnsiTheme="minorHAnsi" w:cstheme="minorHAnsi"/>
          <w:sz w:val="22"/>
          <w:szCs w:val="22"/>
          <w:lang w:val="en-US"/>
        </w:rPr>
        <w:t xml:space="preserve">In December 2018, UNDP, UN Women, UNFPA and ESCWA launched a series of 18 national reports, verified at the country level, on Gender Justice and the Law in the Arab Region. The reports identified legal measures in place to address gender-based violence. Through their publication, the partners sought </w:t>
      </w:r>
      <w:r w:rsidRPr="007D68D8">
        <w:rPr>
          <w:rFonts w:asciiTheme="minorHAnsi" w:hAnsiTheme="minorHAnsi" w:cstheme="minorHAnsi"/>
          <w:sz w:val="22"/>
          <w:szCs w:val="22"/>
          <w:lang w:val="en-US"/>
        </w:rPr>
        <w:lastRenderedPageBreak/>
        <w:t>to encourage policy and institutional reforms and address structural barriers to gender equality and women’s empowerment. In December 2019, the regional report</w:t>
      </w:r>
      <w:r w:rsidRPr="007D68D8">
        <w:rPr>
          <w:rFonts w:asciiTheme="minorHAnsi" w:hAnsiTheme="minorHAnsi" w:cstheme="minorHAnsi"/>
          <w:i/>
          <w:iCs/>
          <w:sz w:val="22"/>
          <w:szCs w:val="22"/>
          <w:lang w:val="en-US"/>
        </w:rPr>
        <w:t xml:space="preserve"> </w:t>
      </w:r>
      <w:r w:rsidRPr="007D68D8">
        <w:rPr>
          <w:rFonts w:asciiTheme="minorHAnsi" w:hAnsiTheme="minorHAnsi" w:cstheme="minorHAnsi"/>
          <w:sz w:val="22"/>
          <w:szCs w:val="22"/>
          <w:lang w:val="en-US"/>
        </w:rPr>
        <w:t xml:space="preserve">on </w:t>
      </w:r>
      <w:r w:rsidRPr="007D68D8">
        <w:rPr>
          <w:rFonts w:asciiTheme="minorHAnsi" w:hAnsiTheme="minorHAnsi" w:cstheme="minorHAnsi"/>
          <w:i/>
          <w:iCs/>
          <w:sz w:val="22"/>
          <w:szCs w:val="22"/>
          <w:lang w:val="en-US"/>
        </w:rPr>
        <w:t xml:space="preserve">Gender Justice &amp; Equality before the Law: Analysis of progress and challenges in the Arab States region </w:t>
      </w:r>
      <w:r w:rsidRPr="007D68D8">
        <w:rPr>
          <w:rFonts w:asciiTheme="minorHAnsi" w:hAnsiTheme="minorHAnsi" w:cstheme="minorHAnsi"/>
          <w:sz w:val="22"/>
          <w:szCs w:val="22"/>
          <w:lang w:val="en-US"/>
        </w:rPr>
        <w:t>was launched</w:t>
      </w:r>
      <w:r w:rsidRPr="007D68D8">
        <w:rPr>
          <w:rFonts w:asciiTheme="minorHAnsi" w:hAnsiTheme="minorHAnsi" w:cstheme="minorHAnsi"/>
          <w:i/>
          <w:iCs/>
          <w:sz w:val="22"/>
          <w:szCs w:val="22"/>
          <w:lang w:val="en-US"/>
        </w:rPr>
        <w:t xml:space="preserve">, </w:t>
      </w:r>
      <w:r w:rsidRPr="007D68D8">
        <w:rPr>
          <w:rFonts w:asciiTheme="minorHAnsi" w:hAnsiTheme="minorHAnsi" w:cstheme="minorHAnsi"/>
          <w:sz w:val="22"/>
          <w:szCs w:val="22"/>
          <w:lang w:val="en-US"/>
        </w:rPr>
        <w:t>as was the complementary Gender Justice and the Law Dashboard (color-coded chart) that visually illustrates the status of legislation in 18 Arab States</w:t>
      </w:r>
      <w:r w:rsidRPr="007D68D8">
        <w:rPr>
          <w:rFonts w:asciiTheme="minorHAnsi" w:hAnsiTheme="minorHAnsi" w:cstheme="minorHAnsi"/>
          <w:i/>
          <w:iCs/>
          <w:sz w:val="22"/>
          <w:szCs w:val="22"/>
          <w:lang w:val="en-US"/>
        </w:rPr>
        <w:t xml:space="preserve">. </w:t>
      </w:r>
      <w:r w:rsidRPr="007D68D8">
        <w:rPr>
          <w:rFonts w:asciiTheme="minorHAnsi" w:hAnsiTheme="minorHAnsi" w:cstheme="minorHAnsi"/>
          <w:sz w:val="22"/>
          <w:szCs w:val="22"/>
          <w:lang w:val="en-US"/>
        </w:rPr>
        <w:t>Early 2020, the four partners embarked on expanding the list of laws and defined criteria to assess legislation compliance with international standards, with the aim to support countries in their gender-sensitive legal and policy reform.</w:t>
      </w:r>
    </w:p>
    <w:p w14:paraId="2F585505" w14:textId="77777777" w:rsidR="00504E71" w:rsidRDefault="00504E71" w:rsidP="00504E71">
      <w:pPr>
        <w:jc w:val="both"/>
        <w:rPr>
          <w:rFonts w:asciiTheme="minorHAnsi" w:hAnsiTheme="minorHAnsi" w:cstheme="minorHAnsi"/>
          <w:bCs/>
          <w:sz w:val="22"/>
          <w:szCs w:val="22"/>
          <w:lang w:val="en-US"/>
        </w:rPr>
      </w:pPr>
      <w:r w:rsidRPr="007D68D8">
        <w:rPr>
          <w:rFonts w:asciiTheme="minorHAnsi" w:hAnsiTheme="minorHAnsi" w:cstheme="minorHAnsi"/>
          <w:sz w:val="22"/>
          <w:szCs w:val="22"/>
          <w:lang w:val="en-US"/>
        </w:rPr>
        <w:t xml:space="preserve">While the Gender Justice and the Law Dashboard and reports is a comprehensive data tool used </w:t>
      </w:r>
      <w:r w:rsidRPr="007D68D8">
        <w:rPr>
          <w:rFonts w:asciiTheme="minorHAnsi" w:hAnsiTheme="minorHAnsi" w:cstheme="minorHAnsi"/>
          <w:bCs/>
          <w:sz w:val="22"/>
          <w:szCs w:val="22"/>
          <w:lang w:val="en-US"/>
        </w:rPr>
        <w:t xml:space="preserve">to measure the progress of women in the region and the identification of innovative ways of implementing SDG5, it does not specifically address the situation of vulnerable groups in the Arab region. A specific study dedicated to Access to Justice for Women with Disabilities is required for all stakeholders to enhance their knowledge and understanding of the situation of and challenges faced by Women with Disabilities in the region. </w:t>
      </w:r>
    </w:p>
    <w:p w14:paraId="6AC2654C" w14:textId="77777777" w:rsidR="00504E71" w:rsidRPr="007D68D8" w:rsidRDefault="00504E71" w:rsidP="00504E71">
      <w:pPr>
        <w:jc w:val="both"/>
        <w:rPr>
          <w:rFonts w:asciiTheme="minorHAnsi" w:hAnsiTheme="minorHAnsi" w:cstheme="minorHAnsi"/>
          <w:sz w:val="22"/>
          <w:szCs w:val="22"/>
          <w:lang w:val="en-US"/>
        </w:rPr>
      </w:pPr>
    </w:p>
    <w:p w14:paraId="3EB51590" w14:textId="77777777" w:rsidR="00504E71" w:rsidRDefault="00504E71" w:rsidP="00504E71">
      <w:pPr>
        <w:jc w:val="both"/>
        <w:rPr>
          <w:rFonts w:asciiTheme="minorHAnsi" w:hAnsiTheme="minorHAnsi" w:cstheme="minorHAnsi"/>
          <w:color w:val="FF0000"/>
          <w:sz w:val="22"/>
          <w:szCs w:val="22"/>
        </w:rPr>
      </w:pPr>
      <w:r w:rsidRPr="007D68D8">
        <w:rPr>
          <w:rFonts w:asciiTheme="minorHAnsi" w:hAnsiTheme="minorHAnsi" w:cstheme="minorHAnsi"/>
          <w:color w:val="FF0000"/>
          <w:sz w:val="22"/>
          <w:szCs w:val="22"/>
        </w:rPr>
        <w:t>Objectives of the assignment</w:t>
      </w:r>
    </w:p>
    <w:p w14:paraId="4408FFF1" w14:textId="77777777" w:rsidR="00504E71" w:rsidRPr="007D68D8" w:rsidRDefault="00504E71" w:rsidP="00504E71">
      <w:pPr>
        <w:jc w:val="both"/>
        <w:rPr>
          <w:rFonts w:asciiTheme="minorHAnsi" w:hAnsiTheme="minorHAnsi" w:cstheme="minorHAnsi"/>
          <w:color w:val="FF0000"/>
          <w:sz w:val="22"/>
          <w:szCs w:val="22"/>
        </w:rPr>
      </w:pPr>
    </w:p>
    <w:p w14:paraId="284F9718" w14:textId="77777777" w:rsidR="00504E71" w:rsidRPr="007D68D8" w:rsidRDefault="00504E71" w:rsidP="00504E71">
      <w:pPr>
        <w:jc w:val="both"/>
        <w:rPr>
          <w:rFonts w:asciiTheme="minorHAnsi" w:hAnsiTheme="minorHAnsi" w:cstheme="minorHAnsi"/>
          <w:sz w:val="22"/>
          <w:szCs w:val="22"/>
          <w:lang w:val="en-US"/>
        </w:rPr>
      </w:pPr>
      <w:r w:rsidRPr="007D68D8">
        <w:rPr>
          <w:rFonts w:asciiTheme="minorHAnsi" w:hAnsiTheme="minorHAnsi" w:cstheme="minorHAnsi"/>
          <w:sz w:val="22"/>
          <w:szCs w:val="22"/>
          <w:lang w:val="en-US"/>
        </w:rPr>
        <w:t>The overall objective of the consultancy service is to facilitate the formulation of the first Access to Justice for Women with Disabilities in the Arab States region. The company will be responsible for the compilation of data and information that ensures the production of a credible, high-quality and well-supported report on Access to Justice for Women with Disabilities in the Arab States, to be shared and presented before international, regional and national stakeholders at a virtual event in the first quarter of 2021.</w:t>
      </w:r>
    </w:p>
    <w:p w14:paraId="106445B2" w14:textId="77777777" w:rsidR="00504E71" w:rsidRDefault="00504E71" w:rsidP="00504E71">
      <w:pPr>
        <w:jc w:val="both"/>
        <w:rPr>
          <w:rFonts w:asciiTheme="minorHAnsi" w:hAnsiTheme="minorHAnsi" w:cstheme="minorHAnsi"/>
          <w:sz w:val="22"/>
          <w:szCs w:val="22"/>
          <w:lang w:val="en-US"/>
        </w:rPr>
      </w:pPr>
      <w:r w:rsidRPr="007D68D8">
        <w:rPr>
          <w:rFonts w:asciiTheme="minorHAnsi" w:hAnsiTheme="minorHAnsi" w:cstheme="minorHAnsi"/>
          <w:sz w:val="22"/>
          <w:szCs w:val="22"/>
          <w:lang w:val="en-US"/>
        </w:rPr>
        <w:t>The main specific objectives of this study are to:</w:t>
      </w:r>
    </w:p>
    <w:p w14:paraId="71D26633" w14:textId="77777777" w:rsidR="00504E71" w:rsidRPr="007D68D8" w:rsidRDefault="00504E71" w:rsidP="00504E71">
      <w:pPr>
        <w:jc w:val="both"/>
        <w:rPr>
          <w:rFonts w:asciiTheme="minorHAnsi" w:hAnsiTheme="minorHAnsi" w:cstheme="minorHAnsi"/>
          <w:sz w:val="22"/>
          <w:szCs w:val="22"/>
          <w:lang w:val="en-US"/>
        </w:rPr>
      </w:pPr>
    </w:p>
    <w:p w14:paraId="2FA796A2" w14:textId="77777777" w:rsidR="00504E71" w:rsidRPr="007D68D8" w:rsidRDefault="00504E71" w:rsidP="00504E71">
      <w:pPr>
        <w:numPr>
          <w:ilvl w:val="0"/>
          <w:numId w:val="12"/>
        </w:numPr>
        <w:jc w:val="both"/>
        <w:rPr>
          <w:rFonts w:asciiTheme="minorHAnsi" w:hAnsiTheme="minorHAnsi" w:cstheme="minorHAnsi"/>
          <w:sz w:val="22"/>
          <w:szCs w:val="22"/>
          <w:lang w:val="en-US"/>
        </w:rPr>
      </w:pPr>
      <w:r w:rsidRPr="007D68D8">
        <w:rPr>
          <w:rFonts w:asciiTheme="minorHAnsi" w:hAnsiTheme="minorHAnsi" w:cstheme="minorHAnsi"/>
          <w:sz w:val="22"/>
          <w:szCs w:val="22"/>
          <w:lang w:val="en-US"/>
        </w:rPr>
        <w:t xml:space="preserve">Build on findings of the Gender Justice and the Law Dashboard and </w:t>
      </w:r>
      <w:proofErr w:type="gramStart"/>
      <w:r w:rsidRPr="007D68D8">
        <w:rPr>
          <w:rFonts w:asciiTheme="minorHAnsi" w:hAnsiTheme="minorHAnsi" w:cstheme="minorHAnsi"/>
          <w:sz w:val="22"/>
          <w:szCs w:val="22"/>
          <w:lang w:val="en-US"/>
        </w:rPr>
        <w:t>reports;</w:t>
      </w:r>
      <w:proofErr w:type="gramEnd"/>
    </w:p>
    <w:p w14:paraId="4B4A921A" w14:textId="77777777" w:rsidR="00504E71" w:rsidRPr="007D68D8" w:rsidRDefault="00504E71" w:rsidP="00504E71">
      <w:pPr>
        <w:numPr>
          <w:ilvl w:val="0"/>
          <w:numId w:val="12"/>
        </w:numPr>
        <w:jc w:val="both"/>
        <w:rPr>
          <w:rFonts w:asciiTheme="minorHAnsi" w:hAnsiTheme="minorHAnsi" w:cstheme="minorHAnsi"/>
          <w:sz w:val="22"/>
          <w:szCs w:val="22"/>
          <w:lang w:val="en-US"/>
        </w:rPr>
      </w:pPr>
      <w:r w:rsidRPr="007D68D8">
        <w:rPr>
          <w:rFonts w:asciiTheme="minorHAnsi" w:hAnsiTheme="minorHAnsi" w:cstheme="minorHAnsi"/>
          <w:sz w:val="22"/>
          <w:szCs w:val="22"/>
          <w:lang w:val="en-US"/>
        </w:rPr>
        <w:t xml:space="preserve">Identify laws, policies and </w:t>
      </w:r>
      <w:proofErr w:type="spellStart"/>
      <w:r w:rsidRPr="007D68D8">
        <w:rPr>
          <w:rFonts w:asciiTheme="minorHAnsi" w:hAnsiTheme="minorHAnsi" w:cstheme="minorHAnsi"/>
          <w:sz w:val="22"/>
          <w:szCs w:val="22"/>
          <w:lang w:val="en-US"/>
        </w:rPr>
        <w:t>programmes</w:t>
      </w:r>
      <w:proofErr w:type="spellEnd"/>
      <w:r w:rsidRPr="007D68D8">
        <w:rPr>
          <w:rFonts w:asciiTheme="minorHAnsi" w:hAnsiTheme="minorHAnsi" w:cstheme="minorHAnsi"/>
          <w:sz w:val="22"/>
          <w:szCs w:val="22"/>
          <w:lang w:val="en-US"/>
        </w:rPr>
        <w:t xml:space="preserve"> that foster Access to Justice for Women with </w:t>
      </w:r>
      <w:proofErr w:type="gramStart"/>
      <w:r w:rsidRPr="007D68D8">
        <w:rPr>
          <w:rFonts w:asciiTheme="minorHAnsi" w:hAnsiTheme="minorHAnsi" w:cstheme="minorHAnsi"/>
          <w:sz w:val="22"/>
          <w:szCs w:val="22"/>
          <w:lang w:val="en-US"/>
        </w:rPr>
        <w:t>Disabilities;</w:t>
      </w:r>
      <w:proofErr w:type="gramEnd"/>
    </w:p>
    <w:p w14:paraId="06D3D3B4" w14:textId="77777777" w:rsidR="00504E71" w:rsidRPr="007D68D8" w:rsidRDefault="00504E71" w:rsidP="00504E71">
      <w:pPr>
        <w:numPr>
          <w:ilvl w:val="0"/>
          <w:numId w:val="12"/>
        </w:numPr>
        <w:jc w:val="both"/>
        <w:rPr>
          <w:rFonts w:asciiTheme="minorHAnsi" w:hAnsiTheme="minorHAnsi" w:cstheme="minorHAnsi"/>
          <w:sz w:val="22"/>
          <w:szCs w:val="22"/>
          <w:lang w:val="en-US"/>
        </w:rPr>
      </w:pPr>
      <w:r w:rsidRPr="007D68D8">
        <w:rPr>
          <w:rFonts w:asciiTheme="minorHAnsi" w:hAnsiTheme="minorHAnsi" w:cstheme="minorHAnsi"/>
          <w:sz w:val="22"/>
          <w:szCs w:val="22"/>
          <w:lang w:val="en-US"/>
        </w:rPr>
        <w:t xml:space="preserve">Pinpoint lessons learnt and challenges in efforts to promote Access to Justice for Women with Disabilities in the Arab States </w:t>
      </w:r>
      <w:proofErr w:type="gramStart"/>
      <w:r w:rsidRPr="007D68D8">
        <w:rPr>
          <w:rFonts w:asciiTheme="minorHAnsi" w:hAnsiTheme="minorHAnsi" w:cstheme="minorHAnsi"/>
          <w:sz w:val="22"/>
          <w:szCs w:val="22"/>
          <w:lang w:val="en-US"/>
        </w:rPr>
        <w:t>region;</w:t>
      </w:r>
      <w:proofErr w:type="gramEnd"/>
    </w:p>
    <w:p w14:paraId="076D5538" w14:textId="77777777" w:rsidR="00504E71" w:rsidRDefault="00504E71" w:rsidP="00504E71">
      <w:pPr>
        <w:numPr>
          <w:ilvl w:val="0"/>
          <w:numId w:val="12"/>
        </w:numPr>
        <w:jc w:val="both"/>
        <w:rPr>
          <w:rFonts w:asciiTheme="minorHAnsi" w:hAnsiTheme="minorHAnsi" w:cstheme="minorHAnsi"/>
          <w:sz w:val="22"/>
          <w:szCs w:val="22"/>
          <w:lang w:val="en-US"/>
        </w:rPr>
      </w:pPr>
      <w:r w:rsidRPr="007D68D8">
        <w:rPr>
          <w:rFonts w:asciiTheme="minorHAnsi" w:hAnsiTheme="minorHAnsi" w:cstheme="minorHAnsi"/>
          <w:sz w:val="22"/>
          <w:szCs w:val="22"/>
          <w:lang w:val="en-US"/>
        </w:rPr>
        <w:t xml:space="preserve">Generate programming and policy recommendations </w:t>
      </w:r>
      <w:proofErr w:type="gramStart"/>
      <w:r w:rsidRPr="007D68D8">
        <w:rPr>
          <w:rFonts w:asciiTheme="minorHAnsi" w:hAnsiTheme="minorHAnsi" w:cstheme="minorHAnsi"/>
          <w:sz w:val="22"/>
          <w:szCs w:val="22"/>
          <w:lang w:val="en-US"/>
        </w:rPr>
        <w:t>in light of</w:t>
      </w:r>
      <w:proofErr w:type="gramEnd"/>
      <w:r w:rsidRPr="007D68D8">
        <w:rPr>
          <w:rFonts w:asciiTheme="minorHAnsi" w:hAnsiTheme="minorHAnsi" w:cstheme="minorHAnsi"/>
          <w:sz w:val="22"/>
          <w:szCs w:val="22"/>
          <w:lang w:val="en-US"/>
        </w:rPr>
        <w:t xml:space="preserve"> the study findings.</w:t>
      </w:r>
    </w:p>
    <w:p w14:paraId="086AFAFF" w14:textId="77777777" w:rsidR="00504E71" w:rsidRPr="007D68D8" w:rsidRDefault="00504E71" w:rsidP="00504E71">
      <w:pPr>
        <w:ind w:left="720"/>
        <w:jc w:val="both"/>
        <w:rPr>
          <w:rFonts w:asciiTheme="minorHAnsi" w:hAnsiTheme="minorHAnsi" w:cstheme="minorHAnsi"/>
          <w:sz w:val="22"/>
          <w:szCs w:val="22"/>
          <w:lang w:val="en-US"/>
        </w:rPr>
      </w:pPr>
    </w:p>
    <w:p w14:paraId="0B2BBE37" w14:textId="77777777" w:rsidR="00504E71" w:rsidRDefault="00504E71" w:rsidP="00504E71">
      <w:pPr>
        <w:jc w:val="both"/>
        <w:rPr>
          <w:rFonts w:asciiTheme="minorHAnsi" w:hAnsiTheme="minorHAnsi" w:cstheme="minorHAnsi"/>
          <w:color w:val="FF0000"/>
          <w:sz w:val="22"/>
          <w:szCs w:val="22"/>
        </w:rPr>
      </w:pPr>
      <w:r w:rsidRPr="007D68D8">
        <w:rPr>
          <w:rFonts w:asciiTheme="minorHAnsi" w:hAnsiTheme="minorHAnsi" w:cstheme="minorHAnsi"/>
          <w:color w:val="FF0000"/>
          <w:sz w:val="22"/>
          <w:szCs w:val="22"/>
        </w:rPr>
        <w:t>Scope of work</w:t>
      </w:r>
    </w:p>
    <w:p w14:paraId="282CF296" w14:textId="77777777" w:rsidR="00504E71" w:rsidRPr="007D68D8" w:rsidRDefault="00504E71" w:rsidP="00504E71">
      <w:pPr>
        <w:jc w:val="both"/>
        <w:rPr>
          <w:rFonts w:asciiTheme="minorHAnsi" w:hAnsiTheme="minorHAnsi" w:cstheme="minorHAnsi"/>
          <w:sz w:val="22"/>
          <w:szCs w:val="22"/>
        </w:rPr>
      </w:pPr>
    </w:p>
    <w:p w14:paraId="5F633D95" w14:textId="77777777" w:rsidR="00504E71" w:rsidRDefault="00504E71" w:rsidP="00504E71">
      <w:pPr>
        <w:jc w:val="both"/>
        <w:rPr>
          <w:rFonts w:asciiTheme="minorHAnsi" w:hAnsiTheme="minorHAnsi" w:cstheme="minorHAnsi"/>
          <w:sz w:val="22"/>
          <w:szCs w:val="22"/>
        </w:rPr>
      </w:pPr>
      <w:r w:rsidRPr="007D68D8">
        <w:rPr>
          <w:rFonts w:asciiTheme="minorHAnsi" w:hAnsiTheme="minorHAnsi" w:cstheme="minorHAnsi"/>
          <w:sz w:val="22"/>
          <w:szCs w:val="22"/>
        </w:rPr>
        <w:t xml:space="preserve">Working in close consultation and collaboration with UN Women ROAS and a lead international consultant working on VAWP, the Company will perform the following tasks: </w:t>
      </w:r>
    </w:p>
    <w:p w14:paraId="7D3E55D7" w14:textId="77777777" w:rsidR="00504E71" w:rsidRPr="007D68D8" w:rsidRDefault="00504E71" w:rsidP="00504E71">
      <w:pPr>
        <w:jc w:val="both"/>
        <w:rPr>
          <w:rFonts w:asciiTheme="minorHAnsi" w:hAnsiTheme="minorHAnsi" w:cstheme="minorHAnsi"/>
          <w:sz w:val="22"/>
          <w:szCs w:val="22"/>
        </w:rPr>
      </w:pPr>
    </w:p>
    <w:p w14:paraId="5B701BB4" w14:textId="77777777" w:rsidR="00504E71" w:rsidRPr="007D68D8" w:rsidRDefault="00504E71" w:rsidP="00504E71">
      <w:pPr>
        <w:pStyle w:val="NormalWeb"/>
        <w:numPr>
          <w:ilvl w:val="0"/>
          <w:numId w:val="2"/>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Conduct background research and review of legislative and policy framework on VAWP </w:t>
      </w:r>
    </w:p>
    <w:p w14:paraId="76E3B94E" w14:textId="77777777" w:rsidR="00504E71" w:rsidRDefault="00504E71" w:rsidP="00504E71">
      <w:pPr>
        <w:pStyle w:val="NormalWeb"/>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This project component includes:</w:t>
      </w:r>
    </w:p>
    <w:p w14:paraId="1948DB47" w14:textId="77777777" w:rsidR="00504E71" w:rsidRPr="007D68D8" w:rsidRDefault="00504E71" w:rsidP="00504E71">
      <w:pPr>
        <w:pStyle w:val="NormalWeb"/>
        <w:spacing w:before="0" w:beforeAutospacing="0" w:after="0" w:afterAutospacing="0"/>
        <w:jc w:val="both"/>
        <w:rPr>
          <w:rFonts w:asciiTheme="minorHAnsi" w:hAnsiTheme="minorHAnsi" w:cstheme="minorHAnsi"/>
          <w:sz w:val="22"/>
          <w:szCs w:val="22"/>
        </w:rPr>
      </w:pPr>
    </w:p>
    <w:p w14:paraId="1B10E2AD" w14:textId="77777777" w:rsidR="00504E71" w:rsidRPr="007D68D8" w:rsidRDefault="00504E71" w:rsidP="00504E71">
      <w:pPr>
        <w:pStyle w:val="NormalWeb"/>
        <w:numPr>
          <w:ilvl w:val="0"/>
          <w:numId w:val="3"/>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Mapping of existing quantitative and qualitative approaches in collecting data on access to justice for women with disabilities, in particular, in the Arab States region, including (a) gathering tools previously used in collecting information on women with disabilities (e.g. questionnaires, interview guides, focus group guides, manuals for data collection etc.) and access to justice; and (b) identifying lessons learned that could be used in the qualitative and quantitative components of the current study, including on issues covered (magnitude measurement, risk and protective factors, perpetrators, location, consequences etc.), specific modalities of obtaining information (phrasing questions, sequencing of issues covered in interviews), and reported challenges in data collection or presentation of the results. </w:t>
      </w:r>
    </w:p>
    <w:p w14:paraId="71D4BCF1" w14:textId="77777777" w:rsidR="00504E71" w:rsidRPr="007D68D8" w:rsidRDefault="00504E71" w:rsidP="00504E71">
      <w:pPr>
        <w:pStyle w:val="NormalWeb"/>
        <w:numPr>
          <w:ilvl w:val="0"/>
          <w:numId w:val="3"/>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Review of the current legislative and policy framework, at regional and national levels, as it relates to access to justice, and inclusion of women with disabilities in national </w:t>
      </w:r>
      <w:proofErr w:type="spellStart"/>
      <w:r w:rsidRPr="007D68D8">
        <w:rPr>
          <w:rFonts w:asciiTheme="minorHAnsi" w:hAnsiTheme="minorHAnsi" w:cstheme="minorHAnsi"/>
          <w:sz w:val="22"/>
          <w:szCs w:val="22"/>
        </w:rPr>
        <w:t>programmes</w:t>
      </w:r>
      <w:proofErr w:type="spellEnd"/>
      <w:r w:rsidRPr="007D68D8">
        <w:rPr>
          <w:rFonts w:asciiTheme="minorHAnsi" w:hAnsiTheme="minorHAnsi" w:cstheme="minorHAnsi"/>
          <w:sz w:val="22"/>
          <w:szCs w:val="22"/>
        </w:rPr>
        <w:t xml:space="preserve">, </w:t>
      </w:r>
      <w:r w:rsidRPr="007D68D8">
        <w:rPr>
          <w:rFonts w:asciiTheme="minorHAnsi" w:hAnsiTheme="minorHAnsi" w:cstheme="minorHAnsi"/>
          <w:sz w:val="22"/>
          <w:szCs w:val="22"/>
        </w:rPr>
        <w:lastRenderedPageBreak/>
        <w:t xml:space="preserve">policies and plans on access to justice services, and by comparison with standards set by international normative frameworks and regional best practices. Good practices on representation of women with disabilities in justice institutions will also be examined. </w:t>
      </w:r>
    </w:p>
    <w:p w14:paraId="09616F4D" w14:textId="77777777" w:rsidR="00504E71" w:rsidRPr="000E3BCD" w:rsidRDefault="00504E71" w:rsidP="00504E71">
      <w:pPr>
        <w:pStyle w:val="NormalWeb"/>
        <w:numPr>
          <w:ilvl w:val="0"/>
          <w:numId w:val="3"/>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Use the regional report</w:t>
      </w:r>
      <w:r w:rsidRPr="007D68D8">
        <w:rPr>
          <w:rFonts w:asciiTheme="minorHAnsi" w:hAnsiTheme="minorHAnsi" w:cstheme="minorHAnsi"/>
          <w:i/>
          <w:iCs/>
          <w:sz w:val="22"/>
          <w:szCs w:val="22"/>
        </w:rPr>
        <w:t xml:space="preserve"> </w:t>
      </w:r>
      <w:r w:rsidRPr="007D68D8">
        <w:rPr>
          <w:rFonts w:asciiTheme="minorHAnsi" w:hAnsiTheme="minorHAnsi" w:cstheme="minorHAnsi"/>
          <w:sz w:val="22"/>
          <w:szCs w:val="22"/>
        </w:rPr>
        <w:t xml:space="preserve">on </w:t>
      </w:r>
      <w:r w:rsidRPr="007D68D8">
        <w:rPr>
          <w:rFonts w:asciiTheme="minorHAnsi" w:hAnsiTheme="minorHAnsi" w:cstheme="minorHAnsi"/>
          <w:i/>
          <w:iCs/>
          <w:sz w:val="22"/>
          <w:szCs w:val="22"/>
        </w:rPr>
        <w:t xml:space="preserve">Gender Justice &amp; Equality before the Law: Analysis of progress and challenges in the Arab States region, </w:t>
      </w:r>
      <w:r w:rsidRPr="007D68D8">
        <w:rPr>
          <w:rFonts w:asciiTheme="minorHAnsi" w:hAnsiTheme="minorHAnsi" w:cstheme="minorHAnsi"/>
          <w:sz w:val="22"/>
          <w:szCs w:val="22"/>
        </w:rPr>
        <w:t xml:space="preserve">the complementary Gender Justice and the Law Dashboard </w:t>
      </w:r>
      <w:r w:rsidRPr="007D68D8">
        <w:rPr>
          <w:rFonts w:asciiTheme="minorHAnsi" w:hAnsiTheme="minorHAnsi" w:cstheme="minorHAnsi"/>
          <w:iCs/>
          <w:sz w:val="22"/>
          <w:szCs w:val="22"/>
        </w:rPr>
        <w:t xml:space="preserve">and the preliminary results of the 2020 expansion of the scope of the </w:t>
      </w:r>
      <w:r w:rsidRPr="007D68D8">
        <w:rPr>
          <w:rFonts w:asciiTheme="minorHAnsi" w:hAnsiTheme="minorHAnsi" w:cstheme="minorHAnsi"/>
          <w:i/>
          <w:iCs/>
          <w:sz w:val="22"/>
          <w:szCs w:val="22"/>
        </w:rPr>
        <w:t>Gender Justice &amp; Equality before the Law: Analysis of progress and challenges in the Arab States region</w:t>
      </w:r>
      <w:r w:rsidRPr="007D68D8">
        <w:rPr>
          <w:rFonts w:asciiTheme="minorHAnsi" w:hAnsiTheme="minorHAnsi" w:cstheme="minorHAnsi"/>
          <w:iCs/>
          <w:sz w:val="22"/>
          <w:szCs w:val="22"/>
        </w:rPr>
        <w:t xml:space="preserve"> and review the applicability of findings to women with disabilities. </w:t>
      </w:r>
    </w:p>
    <w:p w14:paraId="79F79949" w14:textId="77777777" w:rsidR="00504E71" w:rsidRPr="007D68D8" w:rsidRDefault="00504E71" w:rsidP="00504E71">
      <w:pPr>
        <w:pStyle w:val="NormalWeb"/>
        <w:spacing w:before="0" w:beforeAutospacing="0" w:after="0" w:afterAutospacing="0"/>
        <w:ind w:left="1080"/>
        <w:jc w:val="both"/>
        <w:rPr>
          <w:rFonts w:asciiTheme="minorHAnsi" w:hAnsiTheme="minorHAnsi" w:cstheme="minorHAnsi"/>
          <w:sz w:val="22"/>
          <w:szCs w:val="22"/>
        </w:rPr>
      </w:pPr>
    </w:p>
    <w:p w14:paraId="2AC08E31" w14:textId="77777777" w:rsidR="00504E71" w:rsidRDefault="00504E71" w:rsidP="00504E71">
      <w:pPr>
        <w:pStyle w:val="NormalWeb"/>
        <w:numPr>
          <w:ilvl w:val="0"/>
          <w:numId w:val="2"/>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Carry out preliminary qualitative research and verification of the scope of study</w:t>
      </w:r>
    </w:p>
    <w:p w14:paraId="381BAD44" w14:textId="77777777" w:rsidR="00504E71" w:rsidRPr="007D68D8" w:rsidRDefault="00504E71" w:rsidP="00504E71">
      <w:pPr>
        <w:pStyle w:val="NormalWeb"/>
        <w:shd w:val="clear" w:color="auto" w:fill="FFFFFF" w:themeFill="background1"/>
        <w:snapToGrid w:val="0"/>
        <w:spacing w:before="0" w:beforeAutospacing="0" w:after="0" w:afterAutospacing="0"/>
        <w:ind w:left="720"/>
        <w:jc w:val="both"/>
        <w:rPr>
          <w:rFonts w:asciiTheme="minorHAnsi" w:hAnsiTheme="minorHAnsi" w:cstheme="minorHAnsi"/>
          <w:sz w:val="22"/>
          <w:szCs w:val="22"/>
        </w:rPr>
      </w:pPr>
    </w:p>
    <w:p w14:paraId="18D2DDC6" w14:textId="77777777" w:rsidR="00504E71" w:rsidRDefault="00504E71" w:rsidP="00504E71">
      <w:pPr>
        <w:pStyle w:val="NormalWeb"/>
        <w:shd w:val="clear" w:color="auto" w:fill="FFFFFF" w:themeFill="background1"/>
        <w:snapToGrid w:val="0"/>
        <w:spacing w:before="0" w:beforeAutospacing="0" w:after="0" w:afterAutospacing="0"/>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 xml:space="preserve">Throughout the development, collection and analysis of quantitative and qualitative data on access to justice for women with disabilities, the Implementation Guidelines on How to use the </w:t>
      </w:r>
      <w:r w:rsidRPr="007D68D8">
        <w:rPr>
          <w:rFonts w:asciiTheme="minorHAnsi" w:hAnsiTheme="minorHAnsi" w:cstheme="minorHAnsi"/>
          <w:sz w:val="22"/>
          <w:szCs w:val="22"/>
        </w:rPr>
        <w:t xml:space="preserve">Washington Group on Disability Statistics - </w:t>
      </w:r>
      <w:r w:rsidRPr="007D68D8">
        <w:rPr>
          <w:rFonts w:asciiTheme="minorHAnsi" w:hAnsiTheme="minorHAnsi" w:cstheme="minorHAnsi"/>
          <w:sz w:val="22"/>
          <w:szCs w:val="22"/>
          <w:lang w:val="en-CA"/>
        </w:rPr>
        <w:t xml:space="preserve">Short Set on Functioning (WG-SS) questions, as well as Handicap International’s Practical Guide on “How to conduct a qualitative/quantitative study? From planning to using findings”, will be used. </w:t>
      </w:r>
    </w:p>
    <w:p w14:paraId="6C92C720" w14:textId="77777777" w:rsidR="00504E71" w:rsidRPr="007D68D8" w:rsidRDefault="00504E71" w:rsidP="00504E71">
      <w:pPr>
        <w:pStyle w:val="NormalWeb"/>
        <w:shd w:val="clear" w:color="auto" w:fill="FFFFFF" w:themeFill="background1"/>
        <w:snapToGrid w:val="0"/>
        <w:spacing w:before="0" w:beforeAutospacing="0" w:after="0" w:afterAutospacing="0"/>
        <w:jc w:val="both"/>
        <w:rPr>
          <w:rFonts w:asciiTheme="minorHAnsi" w:hAnsiTheme="minorHAnsi" w:cstheme="minorHAnsi"/>
          <w:sz w:val="22"/>
          <w:szCs w:val="22"/>
          <w:lang w:val="en-CA"/>
        </w:rPr>
      </w:pPr>
    </w:p>
    <w:p w14:paraId="55EDFA6E" w14:textId="77777777" w:rsidR="00504E71" w:rsidRDefault="00504E71" w:rsidP="00504E71">
      <w:pPr>
        <w:pStyle w:val="NormalWeb"/>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This component will provide contextual knowledge on access to justice for women with disabilities, their representation in the justice sector and inform the development of data collection tools and the scope of the study. Activities conducted under this component will be conducted in compliance with public health recommendations and guidance developed in the context of the COVID-19 pandemic. </w:t>
      </w:r>
    </w:p>
    <w:p w14:paraId="25AD25B4" w14:textId="77777777" w:rsidR="00504E71" w:rsidRPr="007D68D8" w:rsidRDefault="00504E71" w:rsidP="00504E71">
      <w:pPr>
        <w:pStyle w:val="NormalWeb"/>
        <w:spacing w:before="0" w:beforeAutospacing="0" w:after="0" w:afterAutospacing="0"/>
        <w:jc w:val="both"/>
        <w:rPr>
          <w:rFonts w:asciiTheme="minorHAnsi" w:hAnsiTheme="minorHAnsi" w:cstheme="minorHAnsi"/>
          <w:sz w:val="22"/>
          <w:szCs w:val="22"/>
        </w:rPr>
      </w:pPr>
    </w:p>
    <w:p w14:paraId="7E8C38C3" w14:textId="77777777" w:rsidR="00504E71" w:rsidRPr="007D68D8" w:rsidRDefault="00504E71" w:rsidP="00504E71">
      <w:pPr>
        <w:pStyle w:val="NormalWeb"/>
        <w:numPr>
          <w:ilvl w:val="0"/>
          <w:numId w:val="4"/>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It consists of a series of consultations with stakeholders relevant to preventing, mitigating or responding to violence against women in politics in the Arab region and</w:t>
      </w:r>
      <w:r w:rsidRPr="007D68D8">
        <w:rPr>
          <w:rFonts w:asciiTheme="minorHAnsi" w:hAnsiTheme="minorHAnsi" w:cstheme="minorHAnsi"/>
          <w:bCs/>
          <w:sz w:val="22"/>
          <w:szCs w:val="22"/>
        </w:rPr>
        <w:t xml:space="preserve"> qualitative research – </w:t>
      </w:r>
      <w:r w:rsidRPr="007D68D8">
        <w:rPr>
          <w:rFonts w:asciiTheme="minorHAnsi" w:hAnsiTheme="minorHAnsi" w:cstheme="minorHAnsi"/>
          <w:sz w:val="22"/>
          <w:szCs w:val="22"/>
        </w:rPr>
        <w:t>focus groups and/or individual interviews – targeting a small sample of women with disabilities who have faced challenges in accessing justice services.</w:t>
      </w:r>
    </w:p>
    <w:p w14:paraId="646A90E4" w14:textId="77777777" w:rsidR="00504E71" w:rsidRPr="007D68D8" w:rsidRDefault="00504E71" w:rsidP="00504E71">
      <w:pPr>
        <w:pStyle w:val="NormalWeb"/>
        <w:numPr>
          <w:ilvl w:val="0"/>
          <w:numId w:val="4"/>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Virtual focus groups and/or in-depth individual interviews with a small sample of women  with disabilities who experienced challenges in accessing justice services will provide information on (a) issues to be covered by the quantitative and qualitative components of the study; (b) identify specific challenges experienced by women with disabilities that should be captured in the questionnaire; (c) suggest specific phrasing that could be used when designing the questionnaire; and (d) recommend which challenges are perceived as most sensitive and therefore be placed at the end of the questionnaire/interview guide.  </w:t>
      </w:r>
    </w:p>
    <w:p w14:paraId="67456500" w14:textId="77777777" w:rsidR="00504E71" w:rsidRPr="007D68D8" w:rsidRDefault="00504E71" w:rsidP="00504E71">
      <w:pPr>
        <w:pStyle w:val="NormalWeb"/>
        <w:numPr>
          <w:ilvl w:val="0"/>
          <w:numId w:val="4"/>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The focus groups and interviews should integrate ‘Leaving No One Behind’ principle and target women from different backgrounds/contexts and with different types of disabilities. Special needs of women with disabilities will be addressed during the focus groups and interviews.</w:t>
      </w:r>
    </w:p>
    <w:p w14:paraId="6C409999" w14:textId="77777777" w:rsidR="00504E71" w:rsidRDefault="00504E71" w:rsidP="00504E71">
      <w:pPr>
        <w:pStyle w:val="NormalWeb"/>
        <w:numPr>
          <w:ilvl w:val="0"/>
          <w:numId w:val="4"/>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At the end of this project component, two outputs may be expected: (</w:t>
      </w:r>
      <w:proofErr w:type="spellStart"/>
      <w:r w:rsidRPr="007D68D8">
        <w:rPr>
          <w:rFonts w:asciiTheme="minorHAnsi" w:hAnsiTheme="minorHAnsi" w:cstheme="minorHAnsi"/>
          <w:sz w:val="22"/>
          <w:szCs w:val="22"/>
        </w:rPr>
        <w:t>i</w:t>
      </w:r>
      <w:proofErr w:type="spellEnd"/>
      <w:r w:rsidRPr="007D68D8">
        <w:rPr>
          <w:rFonts w:asciiTheme="minorHAnsi" w:hAnsiTheme="minorHAnsi" w:cstheme="minorHAnsi"/>
          <w:sz w:val="22"/>
          <w:szCs w:val="22"/>
        </w:rPr>
        <w:t>) a transcript of information gathered in consultations, focus groups and interviews, which will inform the development of the survey questionnaire and the final report of the study; and (ii) an interview guide for qualitative data collection in the field (if applicable).</w:t>
      </w:r>
    </w:p>
    <w:p w14:paraId="0551724E" w14:textId="77777777" w:rsidR="00504E71" w:rsidRPr="007D68D8" w:rsidRDefault="00504E71" w:rsidP="00504E71">
      <w:pPr>
        <w:pStyle w:val="NormalWeb"/>
        <w:spacing w:before="0" w:beforeAutospacing="0" w:after="0" w:afterAutospacing="0"/>
        <w:ind w:left="1080"/>
        <w:jc w:val="both"/>
        <w:rPr>
          <w:rFonts w:asciiTheme="minorHAnsi" w:hAnsiTheme="minorHAnsi" w:cstheme="minorHAnsi"/>
          <w:sz w:val="22"/>
          <w:szCs w:val="22"/>
        </w:rPr>
      </w:pPr>
    </w:p>
    <w:p w14:paraId="209AC738" w14:textId="77777777" w:rsidR="00504E71" w:rsidRDefault="00504E71" w:rsidP="00504E71">
      <w:pPr>
        <w:pStyle w:val="NormalWeb"/>
        <w:numPr>
          <w:ilvl w:val="0"/>
          <w:numId w:val="2"/>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Develop quantitative data collection tools</w:t>
      </w:r>
    </w:p>
    <w:p w14:paraId="6CD9819D" w14:textId="77777777" w:rsidR="00504E71" w:rsidRPr="007D68D8" w:rsidRDefault="00504E71" w:rsidP="00504E71">
      <w:pPr>
        <w:pStyle w:val="NormalWeb"/>
        <w:shd w:val="clear" w:color="auto" w:fill="FFFFFF" w:themeFill="background1"/>
        <w:snapToGrid w:val="0"/>
        <w:spacing w:before="0" w:beforeAutospacing="0" w:after="0" w:afterAutospacing="0"/>
        <w:ind w:left="720"/>
        <w:jc w:val="both"/>
        <w:rPr>
          <w:rFonts w:asciiTheme="minorHAnsi" w:hAnsiTheme="minorHAnsi" w:cstheme="minorHAnsi"/>
          <w:sz w:val="22"/>
          <w:szCs w:val="22"/>
        </w:rPr>
      </w:pPr>
    </w:p>
    <w:p w14:paraId="6F4E4ECE" w14:textId="77777777" w:rsidR="00504E71" w:rsidRPr="007D68D8" w:rsidRDefault="00504E71" w:rsidP="00504E71">
      <w:pPr>
        <w:pStyle w:val="NormalWeb"/>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The comparative quantitative surveys would be conducted in 18 countries covered by UN Women ROAS, for an estimated total of 2,000 survey respondents.</w:t>
      </w:r>
    </w:p>
    <w:p w14:paraId="2A322EE5" w14:textId="77777777" w:rsidR="00504E71" w:rsidRDefault="00504E71" w:rsidP="00504E71">
      <w:pPr>
        <w:pStyle w:val="NormalWeb"/>
        <w:shd w:val="clear" w:color="auto" w:fill="FFFFFF" w:themeFill="background1"/>
        <w:snapToGrid w:val="0"/>
        <w:spacing w:before="0" w:beforeAutospacing="0" w:after="0" w:afterAutospacing="0"/>
        <w:jc w:val="both"/>
        <w:rPr>
          <w:rFonts w:asciiTheme="minorHAnsi" w:hAnsiTheme="minorHAnsi" w:cstheme="minorHAnsi"/>
          <w:sz w:val="22"/>
          <w:szCs w:val="22"/>
          <w:lang w:val="en-CA"/>
        </w:rPr>
      </w:pPr>
      <w:r w:rsidRPr="007D68D8">
        <w:rPr>
          <w:rFonts w:asciiTheme="minorHAnsi" w:hAnsiTheme="minorHAnsi" w:cstheme="minorHAnsi"/>
          <w:sz w:val="22"/>
          <w:szCs w:val="22"/>
        </w:rPr>
        <w:lastRenderedPageBreak/>
        <w:t xml:space="preserve">The quantitative data collection tools – including a questionnaire and interviewer's manual – will be developed by building on relevant existing methods of data collection and preliminary qualitative research undertaken as part of this study, including the </w:t>
      </w:r>
      <w:r w:rsidRPr="007D68D8">
        <w:rPr>
          <w:rFonts w:asciiTheme="minorHAnsi" w:hAnsiTheme="minorHAnsi" w:cstheme="minorHAnsi"/>
          <w:sz w:val="22"/>
          <w:szCs w:val="22"/>
          <w:lang w:val="en-CA"/>
        </w:rPr>
        <w:t>WG-SS.</w:t>
      </w:r>
    </w:p>
    <w:p w14:paraId="623DDCFC" w14:textId="77777777" w:rsidR="00504E71" w:rsidRPr="007D68D8" w:rsidRDefault="00504E71" w:rsidP="00504E71">
      <w:pPr>
        <w:pStyle w:val="NormalWeb"/>
        <w:shd w:val="clear" w:color="auto" w:fill="FFFFFF" w:themeFill="background1"/>
        <w:snapToGrid w:val="0"/>
        <w:spacing w:before="0" w:beforeAutospacing="0" w:after="0" w:afterAutospacing="0"/>
        <w:jc w:val="both"/>
        <w:rPr>
          <w:rFonts w:asciiTheme="minorHAnsi" w:hAnsiTheme="minorHAnsi" w:cstheme="minorHAnsi"/>
          <w:sz w:val="22"/>
          <w:szCs w:val="22"/>
          <w:lang w:val="en-CA"/>
        </w:rPr>
      </w:pPr>
    </w:p>
    <w:p w14:paraId="7A53888F" w14:textId="77777777" w:rsidR="00504E71" w:rsidRPr="007D68D8" w:rsidRDefault="00504E71" w:rsidP="00504E71">
      <w:pPr>
        <w:pStyle w:val="NormalWeb"/>
        <w:numPr>
          <w:ilvl w:val="0"/>
          <w:numId w:val="5"/>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lang w:val="en-CA"/>
        </w:rPr>
        <w:t xml:space="preserve">Collecting data using the WG-SS will provide valuable insight into whether women with disabilities are benefitting from policies and programs designed to improve access to justice. </w:t>
      </w:r>
      <w:r w:rsidRPr="007D68D8">
        <w:rPr>
          <w:rFonts w:asciiTheme="minorHAnsi" w:hAnsiTheme="minorHAnsi" w:cstheme="minorHAnsi"/>
          <w:sz w:val="22"/>
          <w:szCs w:val="22"/>
        </w:rPr>
        <w:t xml:space="preserve">The questionnaire will reflect the purpose of the study and capture experiences of women with disabilities in accessing justice services, the types, </w:t>
      </w:r>
      <w:proofErr w:type="gramStart"/>
      <w:r w:rsidRPr="007D68D8">
        <w:rPr>
          <w:rFonts w:asciiTheme="minorHAnsi" w:hAnsiTheme="minorHAnsi" w:cstheme="minorHAnsi"/>
          <w:sz w:val="22"/>
          <w:szCs w:val="22"/>
        </w:rPr>
        <w:t>magnitude</w:t>
      </w:r>
      <w:proofErr w:type="gramEnd"/>
      <w:r w:rsidRPr="007D68D8">
        <w:rPr>
          <w:rFonts w:asciiTheme="minorHAnsi" w:hAnsiTheme="minorHAnsi" w:cstheme="minorHAnsi"/>
          <w:sz w:val="22"/>
          <w:szCs w:val="22"/>
        </w:rPr>
        <w:t xml:space="preserve"> and frequency of challenges faced. </w:t>
      </w:r>
    </w:p>
    <w:p w14:paraId="71AACE0E" w14:textId="77777777" w:rsidR="00504E71" w:rsidRPr="007D68D8" w:rsidRDefault="00504E71" w:rsidP="00504E71">
      <w:pPr>
        <w:pStyle w:val="NormalWeb"/>
        <w:numPr>
          <w:ilvl w:val="0"/>
          <w:numId w:val="5"/>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The interviewer’s manual will cover all aspects of the survey, to serve as guidance during training and fieldwork operations, including, for example, purpose of the survey, introduction of the survey to respondents, responsibilities of interviewers, interviewing rules, how to minimize non-response, detailed instructions on each question in the questionnaire, minimizing and responding to emotional distress, etc.</w:t>
      </w:r>
    </w:p>
    <w:p w14:paraId="40AFF5E2" w14:textId="77777777" w:rsidR="00504E71" w:rsidRPr="007D68D8" w:rsidRDefault="00504E71" w:rsidP="00504E71">
      <w:pPr>
        <w:pStyle w:val="NormalWeb"/>
        <w:numPr>
          <w:ilvl w:val="0"/>
          <w:numId w:val="5"/>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The quantitative data collection tools – including a questionnaire and interviewer's manual – will be adjusted so the findings also reflect answers from women with disabilities. </w:t>
      </w:r>
    </w:p>
    <w:p w14:paraId="3978B040" w14:textId="77777777" w:rsidR="00504E71" w:rsidRPr="007D68D8" w:rsidRDefault="00504E71" w:rsidP="00504E71">
      <w:pPr>
        <w:pStyle w:val="NormalWeb"/>
        <w:numPr>
          <w:ilvl w:val="0"/>
          <w:numId w:val="5"/>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Both the questionnaire and the manual (as well as the field data collection) will be consistent with research ethics and confidentiality requirements in line with the principle of Do No Harm and the WHO Ethical and safety recommendations for intervention research on violence against women, as well as considerations for integrating and operationalizing LNOB. </w:t>
      </w:r>
    </w:p>
    <w:p w14:paraId="660E5639" w14:textId="77777777" w:rsidR="00504E71" w:rsidRPr="007D68D8" w:rsidRDefault="00504E71" w:rsidP="00504E71">
      <w:pPr>
        <w:pStyle w:val="NormalWeb"/>
        <w:numPr>
          <w:ilvl w:val="0"/>
          <w:numId w:val="5"/>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Developing a testing strategy, including pilot training, for the tools, to capture different methods (expert reviews, cognitive testing and field pretesting, for example) and types of respondents and </w:t>
      </w:r>
      <w:proofErr w:type="gramStart"/>
      <w:r w:rsidRPr="007D68D8">
        <w:rPr>
          <w:rFonts w:asciiTheme="minorHAnsi" w:hAnsiTheme="minorHAnsi" w:cstheme="minorHAnsi"/>
          <w:sz w:val="22"/>
          <w:szCs w:val="22"/>
        </w:rPr>
        <w:t>environments;</w:t>
      </w:r>
      <w:proofErr w:type="gramEnd"/>
    </w:p>
    <w:p w14:paraId="4F0EB3C7" w14:textId="77777777" w:rsidR="00504E71" w:rsidRDefault="00504E71" w:rsidP="00504E71">
      <w:pPr>
        <w:pStyle w:val="NormalWeb"/>
        <w:numPr>
          <w:ilvl w:val="0"/>
          <w:numId w:val="5"/>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Testing of data collection tools and training materials, including the implementation of a pilot training and survey.</w:t>
      </w:r>
    </w:p>
    <w:p w14:paraId="0213C8CA" w14:textId="77777777" w:rsidR="00504E71" w:rsidRPr="007D68D8" w:rsidRDefault="00504E71" w:rsidP="00504E71">
      <w:pPr>
        <w:pStyle w:val="NormalWeb"/>
        <w:shd w:val="clear" w:color="auto" w:fill="FFFFFF" w:themeFill="background1"/>
        <w:snapToGrid w:val="0"/>
        <w:spacing w:before="0" w:beforeAutospacing="0" w:after="0" w:afterAutospacing="0"/>
        <w:ind w:left="1068"/>
        <w:jc w:val="both"/>
        <w:rPr>
          <w:rFonts w:asciiTheme="minorHAnsi" w:hAnsiTheme="minorHAnsi" w:cstheme="minorHAnsi"/>
          <w:sz w:val="22"/>
          <w:szCs w:val="22"/>
        </w:rPr>
      </w:pPr>
    </w:p>
    <w:p w14:paraId="4C0AABA6" w14:textId="77777777" w:rsidR="00504E71" w:rsidRDefault="00504E71" w:rsidP="00504E71">
      <w:pPr>
        <w:pStyle w:val="NormalWeb"/>
        <w:numPr>
          <w:ilvl w:val="0"/>
          <w:numId w:val="2"/>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Prepare a sample design for quantitative data collection</w:t>
      </w:r>
    </w:p>
    <w:p w14:paraId="5067D6F9" w14:textId="77777777" w:rsidR="00504E71" w:rsidRPr="007D68D8" w:rsidRDefault="00504E71" w:rsidP="00504E71">
      <w:pPr>
        <w:pStyle w:val="NormalWeb"/>
        <w:shd w:val="clear" w:color="auto" w:fill="FFFFFF" w:themeFill="background1"/>
        <w:snapToGrid w:val="0"/>
        <w:spacing w:before="0" w:beforeAutospacing="0" w:after="0" w:afterAutospacing="0"/>
        <w:ind w:left="720"/>
        <w:jc w:val="both"/>
        <w:rPr>
          <w:rFonts w:asciiTheme="minorHAnsi" w:hAnsiTheme="minorHAnsi" w:cstheme="minorHAnsi"/>
          <w:sz w:val="22"/>
          <w:szCs w:val="22"/>
        </w:rPr>
      </w:pPr>
    </w:p>
    <w:p w14:paraId="3AAEECDE" w14:textId="77777777" w:rsidR="00504E71" w:rsidRPr="007D68D8" w:rsidRDefault="00504E71" w:rsidP="00504E71">
      <w:pPr>
        <w:pStyle w:val="NormalWeb"/>
        <w:numPr>
          <w:ilvl w:val="0"/>
          <w:numId w:val="6"/>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The survey sample design will ensure the adequate representation of women with disabilities throughout the region. The sample size should be large enough to assess, at a minimum, the magnitude and forms of challenges faced by women with disabilities in accessing justice services. </w:t>
      </w:r>
    </w:p>
    <w:p w14:paraId="63C1D564" w14:textId="77777777" w:rsidR="00504E71" w:rsidRDefault="00504E71" w:rsidP="00504E71">
      <w:pPr>
        <w:pStyle w:val="NormalWeb"/>
        <w:numPr>
          <w:ilvl w:val="0"/>
          <w:numId w:val="6"/>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A brief sampling note will detail the sample design, including the sampling frame, the principles used in selecting primary sampling units, the location of sampling units, and the respondent selection protocol.</w:t>
      </w:r>
    </w:p>
    <w:p w14:paraId="1E2447E1" w14:textId="77777777" w:rsidR="00504E71" w:rsidRPr="007D68D8" w:rsidRDefault="00504E71" w:rsidP="00504E71">
      <w:pPr>
        <w:pStyle w:val="NormalWeb"/>
        <w:shd w:val="clear" w:color="auto" w:fill="FFFFFF" w:themeFill="background1"/>
        <w:snapToGrid w:val="0"/>
        <w:spacing w:before="0" w:beforeAutospacing="0" w:after="0" w:afterAutospacing="0"/>
        <w:ind w:left="1068"/>
        <w:jc w:val="both"/>
        <w:rPr>
          <w:rFonts w:asciiTheme="minorHAnsi" w:hAnsiTheme="minorHAnsi" w:cstheme="minorHAnsi"/>
          <w:sz w:val="22"/>
          <w:szCs w:val="22"/>
        </w:rPr>
      </w:pPr>
    </w:p>
    <w:p w14:paraId="70E64173" w14:textId="77777777" w:rsidR="00504E71" w:rsidRDefault="00504E71" w:rsidP="00504E71">
      <w:pPr>
        <w:pStyle w:val="NormalWeb"/>
        <w:numPr>
          <w:ilvl w:val="0"/>
          <w:numId w:val="2"/>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Conduct field data collection</w:t>
      </w:r>
    </w:p>
    <w:p w14:paraId="4C69DA41" w14:textId="77777777" w:rsidR="00504E71" w:rsidRPr="007D68D8" w:rsidRDefault="00504E71" w:rsidP="00504E71">
      <w:pPr>
        <w:pStyle w:val="NormalWeb"/>
        <w:shd w:val="clear" w:color="auto" w:fill="FFFFFF" w:themeFill="background1"/>
        <w:snapToGrid w:val="0"/>
        <w:spacing w:before="0" w:beforeAutospacing="0" w:after="0" w:afterAutospacing="0"/>
        <w:ind w:left="720"/>
        <w:jc w:val="both"/>
        <w:rPr>
          <w:rFonts w:asciiTheme="minorHAnsi" w:hAnsiTheme="minorHAnsi" w:cstheme="minorHAnsi"/>
          <w:sz w:val="22"/>
          <w:szCs w:val="22"/>
        </w:rPr>
      </w:pPr>
    </w:p>
    <w:p w14:paraId="13E6C4A9" w14:textId="77777777" w:rsidR="00504E71" w:rsidRPr="007D68D8" w:rsidRDefault="00504E71" w:rsidP="00504E71">
      <w:pPr>
        <w:pStyle w:val="NormalWeb"/>
        <w:shd w:val="clear" w:color="auto" w:fill="FFFFFF" w:themeFill="background1"/>
        <w:snapToGrid w:val="0"/>
        <w:spacing w:before="0" w:beforeAutospacing="0" w:after="0" w:afterAutospacing="0"/>
        <w:jc w:val="both"/>
        <w:rPr>
          <w:rFonts w:asciiTheme="minorHAnsi" w:hAnsiTheme="minorHAnsi" w:cstheme="minorHAnsi"/>
          <w:color w:val="000000" w:themeColor="text1"/>
          <w:sz w:val="22"/>
          <w:szCs w:val="22"/>
        </w:rPr>
      </w:pPr>
      <w:r w:rsidRPr="007D68D8">
        <w:rPr>
          <w:rFonts w:asciiTheme="minorHAnsi" w:hAnsiTheme="minorHAnsi" w:cstheme="minorHAnsi"/>
          <w:sz w:val="22"/>
          <w:szCs w:val="22"/>
        </w:rPr>
        <w:t>Field data collection may include a quantitative and qualitative data component. Activities conducted under this component will be conducted in compliance with public health recommendations and guidance developed</w:t>
      </w:r>
      <w:r w:rsidRPr="007D68D8">
        <w:rPr>
          <w:rFonts w:asciiTheme="minorHAnsi" w:hAnsiTheme="minorHAnsi" w:cstheme="minorHAnsi"/>
          <w:color w:val="000000" w:themeColor="text1"/>
          <w:sz w:val="22"/>
          <w:szCs w:val="22"/>
        </w:rPr>
        <w:t xml:space="preserve"> </w:t>
      </w:r>
      <w:r w:rsidRPr="007D68D8">
        <w:rPr>
          <w:rFonts w:asciiTheme="minorHAnsi" w:hAnsiTheme="minorHAnsi" w:cstheme="minorHAnsi"/>
          <w:sz w:val="22"/>
          <w:szCs w:val="22"/>
        </w:rPr>
        <w:t xml:space="preserve">in the context of the COVID-19 pandemic. Priority will be given to virtual field data collection. </w:t>
      </w:r>
      <w:r w:rsidRPr="007D68D8">
        <w:rPr>
          <w:rFonts w:asciiTheme="minorHAnsi" w:hAnsiTheme="minorHAnsi" w:cstheme="minorHAnsi"/>
          <w:color w:val="000000" w:themeColor="text1"/>
          <w:sz w:val="22"/>
          <w:szCs w:val="22"/>
        </w:rPr>
        <w:t xml:space="preserve"> </w:t>
      </w:r>
    </w:p>
    <w:p w14:paraId="17134118" w14:textId="77777777" w:rsidR="00504E71" w:rsidRPr="007D68D8" w:rsidRDefault="00504E71" w:rsidP="00504E71">
      <w:pPr>
        <w:pStyle w:val="NormalWeb"/>
        <w:numPr>
          <w:ilvl w:val="1"/>
          <w:numId w:val="1"/>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Quantitative data collection</w:t>
      </w:r>
    </w:p>
    <w:p w14:paraId="58B4E3F3" w14:textId="77777777" w:rsidR="00504E71" w:rsidRPr="007D68D8" w:rsidRDefault="00504E71" w:rsidP="00504E71">
      <w:pPr>
        <w:pStyle w:val="NormalWeb"/>
        <w:numPr>
          <w:ilvl w:val="0"/>
          <w:numId w:val="7"/>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Development of a data collection plan consistent with the sampling design and specifying the timeline of activities, number and selection of interviewers and supervisors, and the quality assurance mechanism for the data collection in the field. </w:t>
      </w:r>
    </w:p>
    <w:p w14:paraId="2E99BDE4" w14:textId="77777777" w:rsidR="00504E71" w:rsidRPr="007D68D8" w:rsidRDefault="00504E71" w:rsidP="00504E71">
      <w:pPr>
        <w:pStyle w:val="NormalWeb"/>
        <w:numPr>
          <w:ilvl w:val="0"/>
          <w:numId w:val="7"/>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lastRenderedPageBreak/>
        <w:t>Training for enumerators and supervisors on the administration of the survey</w:t>
      </w:r>
      <w:r w:rsidRPr="007D68D8">
        <w:rPr>
          <w:rFonts w:asciiTheme="minorHAnsi" w:hAnsiTheme="minorHAnsi" w:cstheme="minorHAnsi"/>
          <w:sz w:val="22"/>
          <w:szCs w:val="22"/>
        </w:rPr>
        <w:footnoteReference w:id="13"/>
      </w:r>
      <w:r w:rsidRPr="007D68D8">
        <w:rPr>
          <w:rFonts w:asciiTheme="minorHAnsi" w:hAnsiTheme="minorHAnsi" w:cstheme="minorHAnsi"/>
          <w:sz w:val="22"/>
          <w:szCs w:val="22"/>
        </w:rPr>
        <w:t xml:space="preserve"> building on WHO and UNSD guidelines, covering GEWE concepts and concerns as well as research ethics and confidentiality. Given the high sensitivity of the topic, special attention will be paid to the principle of Do No Harm as well as guaranteeing privacy and providing assurance that the information collected will only be used for the purposes of the study;</w:t>
      </w:r>
    </w:p>
    <w:p w14:paraId="5B169AC9" w14:textId="77777777" w:rsidR="00504E71" w:rsidRPr="007D68D8" w:rsidRDefault="00504E71" w:rsidP="00504E71">
      <w:pPr>
        <w:pStyle w:val="NormalWeb"/>
        <w:numPr>
          <w:ilvl w:val="0"/>
          <w:numId w:val="7"/>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Data collection in the </w:t>
      </w:r>
      <w:proofErr w:type="gramStart"/>
      <w:r w:rsidRPr="007D68D8">
        <w:rPr>
          <w:rFonts w:asciiTheme="minorHAnsi" w:hAnsiTheme="minorHAnsi" w:cstheme="minorHAnsi"/>
          <w:sz w:val="22"/>
          <w:szCs w:val="22"/>
        </w:rPr>
        <w:t>field;</w:t>
      </w:r>
      <w:proofErr w:type="gramEnd"/>
    </w:p>
    <w:p w14:paraId="0D3CEB63" w14:textId="77777777" w:rsidR="00504E71" w:rsidRPr="007D68D8" w:rsidRDefault="00504E71" w:rsidP="00504E71">
      <w:pPr>
        <w:pStyle w:val="NormalWeb"/>
        <w:numPr>
          <w:ilvl w:val="0"/>
          <w:numId w:val="7"/>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Data entry (if paper questionnaire used</w:t>
      </w:r>
      <w:proofErr w:type="gramStart"/>
      <w:r w:rsidRPr="007D68D8">
        <w:rPr>
          <w:rFonts w:asciiTheme="minorHAnsi" w:hAnsiTheme="minorHAnsi" w:cstheme="minorHAnsi"/>
          <w:sz w:val="22"/>
          <w:szCs w:val="22"/>
        </w:rPr>
        <w:t>);</w:t>
      </w:r>
      <w:proofErr w:type="gramEnd"/>
    </w:p>
    <w:p w14:paraId="751EEAAF" w14:textId="77777777" w:rsidR="00504E71" w:rsidRPr="007D68D8" w:rsidRDefault="00504E71" w:rsidP="00504E71">
      <w:pPr>
        <w:pStyle w:val="NormalWeb"/>
        <w:numPr>
          <w:ilvl w:val="0"/>
          <w:numId w:val="7"/>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Development of a brief report on lessons learned from the field (summarizing challenges in approaching respondents, if some questions didn’t work, etc.</w:t>
      </w:r>
      <w:proofErr w:type="gramStart"/>
      <w:r w:rsidRPr="007D68D8">
        <w:rPr>
          <w:rFonts w:asciiTheme="minorHAnsi" w:hAnsiTheme="minorHAnsi" w:cstheme="minorHAnsi"/>
          <w:sz w:val="22"/>
          <w:szCs w:val="22"/>
        </w:rPr>
        <w:t>);</w:t>
      </w:r>
      <w:proofErr w:type="gramEnd"/>
      <w:r w:rsidRPr="007D68D8">
        <w:rPr>
          <w:rFonts w:asciiTheme="minorHAnsi" w:hAnsiTheme="minorHAnsi" w:cstheme="minorHAnsi"/>
          <w:sz w:val="22"/>
          <w:szCs w:val="22"/>
        </w:rPr>
        <w:t xml:space="preserve"> </w:t>
      </w:r>
    </w:p>
    <w:p w14:paraId="3E1E44D8" w14:textId="77777777" w:rsidR="00504E71" w:rsidRPr="007D68D8" w:rsidRDefault="00504E71" w:rsidP="00504E71">
      <w:pPr>
        <w:pStyle w:val="NormalWeb"/>
        <w:numPr>
          <w:ilvl w:val="0"/>
          <w:numId w:val="7"/>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Checking the fieldwork and data entry by a separate entity from the one fielding the survey.</w:t>
      </w:r>
    </w:p>
    <w:p w14:paraId="2A43E351" w14:textId="77777777" w:rsidR="00504E71" w:rsidRPr="007D68D8" w:rsidRDefault="00504E71" w:rsidP="00504E71">
      <w:pPr>
        <w:pStyle w:val="NormalWeb"/>
        <w:numPr>
          <w:ilvl w:val="1"/>
          <w:numId w:val="1"/>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Qualitative data collection</w:t>
      </w:r>
    </w:p>
    <w:p w14:paraId="097473E5" w14:textId="77777777" w:rsidR="00504E71" w:rsidRPr="007D68D8" w:rsidRDefault="00504E71" w:rsidP="00504E71">
      <w:pPr>
        <w:pStyle w:val="NormalWeb"/>
        <w:numPr>
          <w:ilvl w:val="0"/>
          <w:numId w:val="8"/>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Development of a qualitative data collection plan, including the number of interviews and principles in selecting persons for in-depth interview, including LNOB</w:t>
      </w:r>
      <w:r w:rsidRPr="007D68D8">
        <w:rPr>
          <w:rFonts w:asciiTheme="minorHAnsi" w:hAnsiTheme="minorHAnsi" w:cstheme="minorHAnsi"/>
          <w:sz w:val="22"/>
          <w:szCs w:val="22"/>
        </w:rPr>
        <w:footnoteReference w:id="14"/>
      </w:r>
      <w:r w:rsidRPr="007D68D8">
        <w:rPr>
          <w:rFonts w:asciiTheme="minorHAnsi" w:hAnsiTheme="minorHAnsi" w:cstheme="minorHAnsi"/>
          <w:sz w:val="22"/>
          <w:szCs w:val="22"/>
        </w:rPr>
        <w:t xml:space="preserve">. </w:t>
      </w:r>
    </w:p>
    <w:p w14:paraId="538EC705" w14:textId="77777777" w:rsidR="00504E71" w:rsidRPr="007D68D8" w:rsidRDefault="00504E71" w:rsidP="00504E71">
      <w:pPr>
        <w:pStyle w:val="NormalWeb"/>
        <w:numPr>
          <w:ilvl w:val="0"/>
          <w:numId w:val="8"/>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The qualitative data collection may be conducted independently or integrated with the survey data collection. The feasibility of having qualitative data collection based on in-depth interviews with selected survivors of violence identified after the administration of the questionnaire, should be assessed, particularly in terms of timing (immediately after the administration of the questionnaire or later) and the person conducting the in-depth interview (an enumerator or a supervisor).</w:t>
      </w:r>
    </w:p>
    <w:p w14:paraId="2775F8D0" w14:textId="77777777" w:rsidR="00504E71" w:rsidRPr="007D68D8" w:rsidRDefault="00504E71" w:rsidP="00504E71">
      <w:pPr>
        <w:pStyle w:val="NormalWeb"/>
        <w:numPr>
          <w:ilvl w:val="0"/>
          <w:numId w:val="8"/>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Conducting qualitative </w:t>
      </w:r>
      <w:proofErr w:type="gramStart"/>
      <w:r w:rsidRPr="007D68D8">
        <w:rPr>
          <w:rFonts w:asciiTheme="minorHAnsi" w:hAnsiTheme="minorHAnsi" w:cstheme="minorHAnsi"/>
          <w:sz w:val="22"/>
          <w:szCs w:val="22"/>
        </w:rPr>
        <w:t>interviews;</w:t>
      </w:r>
      <w:proofErr w:type="gramEnd"/>
    </w:p>
    <w:p w14:paraId="73D70FE9" w14:textId="77777777" w:rsidR="00504E71" w:rsidRDefault="00504E71" w:rsidP="00504E71">
      <w:pPr>
        <w:pStyle w:val="NormalWeb"/>
        <w:numPr>
          <w:ilvl w:val="0"/>
          <w:numId w:val="8"/>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Transcript of interviews. </w:t>
      </w:r>
    </w:p>
    <w:p w14:paraId="1C8A615F" w14:textId="77777777" w:rsidR="00504E71" w:rsidRPr="007D68D8" w:rsidRDefault="00504E71" w:rsidP="00504E71">
      <w:pPr>
        <w:pStyle w:val="NormalWeb"/>
        <w:spacing w:before="0" w:beforeAutospacing="0" w:after="0" w:afterAutospacing="0"/>
        <w:ind w:left="1068"/>
        <w:jc w:val="both"/>
        <w:rPr>
          <w:rFonts w:asciiTheme="minorHAnsi" w:hAnsiTheme="minorHAnsi" w:cstheme="minorHAnsi"/>
          <w:sz w:val="22"/>
          <w:szCs w:val="22"/>
        </w:rPr>
      </w:pPr>
    </w:p>
    <w:p w14:paraId="03C63994" w14:textId="77777777" w:rsidR="00504E71" w:rsidRDefault="00504E71" w:rsidP="00504E71">
      <w:pPr>
        <w:pStyle w:val="NormalWeb"/>
        <w:numPr>
          <w:ilvl w:val="0"/>
          <w:numId w:val="2"/>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Preparation of a comprehensive report and advocacy materials</w:t>
      </w:r>
    </w:p>
    <w:p w14:paraId="669BA1DA" w14:textId="77777777" w:rsidR="00504E71" w:rsidRPr="007D68D8" w:rsidRDefault="00504E71" w:rsidP="00504E71">
      <w:pPr>
        <w:pStyle w:val="NormalWeb"/>
        <w:shd w:val="clear" w:color="auto" w:fill="FFFFFF" w:themeFill="background1"/>
        <w:snapToGrid w:val="0"/>
        <w:spacing w:before="0" w:beforeAutospacing="0" w:after="0" w:afterAutospacing="0"/>
        <w:ind w:left="720"/>
        <w:jc w:val="both"/>
        <w:rPr>
          <w:rFonts w:asciiTheme="minorHAnsi" w:hAnsiTheme="minorHAnsi" w:cstheme="minorHAnsi"/>
          <w:sz w:val="22"/>
          <w:szCs w:val="22"/>
        </w:rPr>
      </w:pPr>
    </w:p>
    <w:p w14:paraId="7B9D2625" w14:textId="77777777" w:rsidR="00504E71" w:rsidRPr="007D68D8" w:rsidRDefault="00504E71" w:rsidP="00504E71">
      <w:pPr>
        <w:pStyle w:val="NormalWeb"/>
        <w:numPr>
          <w:ilvl w:val="0"/>
          <w:numId w:val="13"/>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Qualitative and quantitative data </w:t>
      </w:r>
      <w:proofErr w:type="gramStart"/>
      <w:r w:rsidRPr="007D68D8">
        <w:rPr>
          <w:rFonts w:asciiTheme="minorHAnsi" w:hAnsiTheme="minorHAnsi" w:cstheme="minorHAnsi"/>
          <w:sz w:val="22"/>
          <w:szCs w:val="22"/>
        </w:rPr>
        <w:t>analysis;</w:t>
      </w:r>
      <w:proofErr w:type="gramEnd"/>
    </w:p>
    <w:p w14:paraId="56CD669B" w14:textId="77777777" w:rsidR="00504E71" w:rsidRPr="007D68D8" w:rsidRDefault="00504E71" w:rsidP="00504E71">
      <w:pPr>
        <w:pStyle w:val="NormalWeb"/>
        <w:numPr>
          <w:ilvl w:val="0"/>
          <w:numId w:val="13"/>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 xml:space="preserve">Development of a comprehensive report integrating evidence from qualitative and quantitative data collection and the review of legislative and policy framework, and highlighting short- and long-term entry points, opportunities, and priority actions for key state and non-state actors to promote access to justice for women with disabilities; </w:t>
      </w:r>
    </w:p>
    <w:p w14:paraId="20E62A3E" w14:textId="77777777" w:rsidR="00504E71" w:rsidRPr="007D68D8" w:rsidRDefault="00504E71" w:rsidP="00504E71">
      <w:pPr>
        <w:pStyle w:val="NormalWeb"/>
        <w:numPr>
          <w:ilvl w:val="0"/>
          <w:numId w:val="13"/>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lang w:val="en-CA"/>
        </w:rPr>
        <w:t xml:space="preserve">Summary of key findings and recommendations in at least 2 formats (including </w:t>
      </w:r>
      <w:r w:rsidRPr="007D68D8">
        <w:rPr>
          <w:rFonts w:asciiTheme="minorHAnsi" w:hAnsiTheme="minorHAnsi" w:cstheme="minorHAnsi"/>
          <w:bCs/>
          <w:sz w:val="22"/>
          <w:szCs w:val="22"/>
          <w:lang w:val="en-CA"/>
        </w:rPr>
        <w:t>infographics</w:t>
      </w:r>
      <w:r w:rsidRPr="007D68D8">
        <w:rPr>
          <w:rFonts w:asciiTheme="minorHAnsi" w:hAnsiTheme="minorHAnsi" w:cstheme="minorHAnsi"/>
          <w:sz w:val="22"/>
          <w:szCs w:val="22"/>
          <w:lang w:val="en-CA"/>
        </w:rPr>
        <w:t xml:space="preserve"> and PowerPoint).</w:t>
      </w:r>
    </w:p>
    <w:p w14:paraId="38EF4F83" w14:textId="77777777" w:rsidR="00504E71" w:rsidRDefault="00504E71" w:rsidP="00504E71">
      <w:pPr>
        <w:pStyle w:val="NormalWeb"/>
        <w:numPr>
          <w:ilvl w:val="0"/>
          <w:numId w:val="13"/>
        </w:numPr>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Development of advocacy materials (including audio extracts or quotes cards, if applicable) based on the comprehensive report and data collected.</w:t>
      </w:r>
    </w:p>
    <w:p w14:paraId="4FCA16E7" w14:textId="77777777" w:rsidR="00504E71" w:rsidRPr="007D68D8" w:rsidRDefault="00504E71" w:rsidP="00504E71">
      <w:pPr>
        <w:pStyle w:val="NormalWeb"/>
        <w:spacing w:before="0" w:beforeAutospacing="0" w:after="0" w:afterAutospacing="0"/>
        <w:ind w:left="1068"/>
        <w:jc w:val="both"/>
        <w:rPr>
          <w:rFonts w:asciiTheme="minorHAnsi" w:hAnsiTheme="minorHAnsi" w:cstheme="minorHAnsi"/>
          <w:sz w:val="22"/>
          <w:szCs w:val="22"/>
        </w:rPr>
      </w:pPr>
    </w:p>
    <w:p w14:paraId="16DD6C3E" w14:textId="77777777" w:rsidR="00504E71" w:rsidRDefault="00504E71" w:rsidP="00504E71">
      <w:pPr>
        <w:pStyle w:val="NormalWeb"/>
        <w:numPr>
          <w:ilvl w:val="0"/>
          <w:numId w:val="2"/>
        </w:numPr>
        <w:shd w:val="clear" w:color="auto" w:fill="FFFFFF" w:themeFill="background1"/>
        <w:snapToGrid w:val="0"/>
        <w:spacing w:before="0" w:beforeAutospacing="0" w:after="0" w:afterAutospacing="0"/>
        <w:jc w:val="both"/>
        <w:rPr>
          <w:rFonts w:asciiTheme="minorHAnsi" w:hAnsiTheme="minorHAnsi" w:cstheme="minorHAnsi"/>
          <w:sz w:val="22"/>
          <w:szCs w:val="22"/>
        </w:rPr>
      </w:pPr>
      <w:r w:rsidRPr="007D68D8">
        <w:rPr>
          <w:rFonts w:asciiTheme="minorHAnsi" w:hAnsiTheme="minorHAnsi" w:cstheme="minorHAnsi"/>
          <w:sz w:val="22"/>
          <w:szCs w:val="22"/>
        </w:rPr>
        <w:t>Launching of the report and follow-up actions</w:t>
      </w:r>
    </w:p>
    <w:p w14:paraId="478E5593" w14:textId="77777777" w:rsidR="00504E71" w:rsidRPr="007D68D8" w:rsidRDefault="00504E71" w:rsidP="00504E71">
      <w:pPr>
        <w:pStyle w:val="NormalWeb"/>
        <w:shd w:val="clear" w:color="auto" w:fill="FFFFFF" w:themeFill="background1"/>
        <w:snapToGrid w:val="0"/>
        <w:spacing w:before="0" w:beforeAutospacing="0" w:after="0" w:afterAutospacing="0"/>
        <w:ind w:left="360"/>
        <w:jc w:val="both"/>
        <w:rPr>
          <w:rFonts w:asciiTheme="minorHAnsi" w:hAnsiTheme="minorHAnsi" w:cstheme="minorHAnsi"/>
          <w:sz w:val="22"/>
          <w:szCs w:val="22"/>
        </w:rPr>
      </w:pPr>
    </w:p>
    <w:p w14:paraId="3A75B415" w14:textId="77777777" w:rsidR="00504E71" w:rsidRPr="002D021E" w:rsidRDefault="00504E71" w:rsidP="00504E71">
      <w:pPr>
        <w:pStyle w:val="NormalWeb"/>
        <w:numPr>
          <w:ilvl w:val="1"/>
          <w:numId w:val="9"/>
        </w:numPr>
        <w:spacing w:before="0" w:beforeAutospacing="0" w:after="0" w:afterAutospacing="0"/>
        <w:jc w:val="both"/>
        <w:rPr>
          <w:rFonts w:asciiTheme="minorHAnsi" w:hAnsiTheme="minorHAnsi" w:cstheme="minorHAnsi"/>
          <w:sz w:val="22"/>
          <w:szCs w:val="22"/>
          <w:u w:val="single"/>
        </w:rPr>
      </w:pPr>
      <w:r w:rsidRPr="007D68D8">
        <w:rPr>
          <w:rFonts w:asciiTheme="minorHAnsi" w:hAnsiTheme="minorHAnsi" w:cstheme="minorHAnsi"/>
          <w:sz w:val="22"/>
          <w:szCs w:val="22"/>
        </w:rPr>
        <w:t>This component includes regional and national virtual workshops to with relevant stakeholders and experts to launch the report and share its findings and recommendations.</w:t>
      </w:r>
    </w:p>
    <w:p w14:paraId="508A4EA3" w14:textId="77777777" w:rsidR="00504E71" w:rsidRPr="007D68D8" w:rsidRDefault="00504E71" w:rsidP="00504E71">
      <w:pPr>
        <w:pStyle w:val="NormalWeb"/>
        <w:spacing w:before="0" w:beforeAutospacing="0" w:after="0" w:afterAutospacing="0"/>
        <w:ind w:left="1068"/>
        <w:jc w:val="both"/>
        <w:rPr>
          <w:rFonts w:asciiTheme="minorHAnsi" w:hAnsiTheme="minorHAnsi" w:cstheme="minorHAnsi"/>
          <w:sz w:val="22"/>
          <w:szCs w:val="22"/>
          <w:u w:val="single"/>
        </w:rPr>
      </w:pPr>
    </w:p>
    <w:p w14:paraId="64F7A837" w14:textId="77777777" w:rsidR="00504E71" w:rsidRDefault="00504E71" w:rsidP="00504E71">
      <w:pPr>
        <w:jc w:val="both"/>
        <w:rPr>
          <w:rFonts w:asciiTheme="minorHAnsi" w:hAnsiTheme="minorHAnsi" w:cstheme="minorHAnsi"/>
          <w:color w:val="FF0000"/>
          <w:sz w:val="22"/>
          <w:szCs w:val="22"/>
        </w:rPr>
      </w:pPr>
      <w:r w:rsidRPr="007D68D8">
        <w:rPr>
          <w:rFonts w:asciiTheme="minorHAnsi" w:hAnsiTheme="minorHAnsi" w:cstheme="minorHAnsi"/>
          <w:color w:val="FF0000"/>
          <w:sz w:val="22"/>
          <w:szCs w:val="22"/>
        </w:rPr>
        <w:t xml:space="preserve">Timeframe </w:t>
      </w:r>
    </w:p>
    <w:p w14:paraId="0BFD407E" w14:textId="77777777" w:rsidR="00504E71" w:rsidRPr="007D68D8" w:rsidRDefault="00504E71" w:rsidP="00504E71">
      <w:pPr>
        <w:jc w:val="both"/>
        <w:rPr>
          <w:rFonts w:asciiTheme="minorHAnsi" w:hAnsiTheme="minorHAnsi" w:cstheme="minorHAnsi"/>
          <w:color w:val="FF0000"/>
          <w:sz w:val="22"/>
          <w:szCs w:val="22"/>
        </w:rPr>
      </w:pPr>
    </w:p>
    <w:p w14:paraId="7F6A5D28" w14:textId="30D67B70" w:rsidR="00504E71" w:rsidRDefault="00504E71" w:rsidP="00504E71">
      <w:pPr>
        <w:jc w:val="both"/>
        <w:rPr>
          <w:rFonts w:asciiTheme="minorHAnsi" w:hAnsiTheme="minorHAnsi" w:cstheme="minorHAnsi"/>
          <w:sz w:val="22"/>
          <w:szCs w:val="22"/>
          <w:lang w:val="en-US"/>
        </w:rPr>
      </w:pPr>
      <w:r w:rsidRPr="007D68D8">
        <w:rPr>
          <w:rFonts w:asciiTheme="minorHAnsi" w:hAnsiTheme="minorHAnsi" w:cstheme="minorHAnsi"/>
          <w:sz w:val="22"/>
          <w:szCs w:val="22"/>
          <w:lang w:val="en-US"/>
        </w:rPr>
        <w:t>The assignment will take place over a 4-month period, from December 2020 to March 202</w:t>
      </w:r>
    </w:p>
    <w:p w14:paraId="2F4A3B0D" w14:textId="77777777" w:rsidR="00504E71" w:rsidRPr="007D68D8" w:rsidRDefault="00504E71" w:rsidP="00504E71">
      <w:pPr>
        <w:jc w:val="both"/>
        <w:rPr>
          <w:rFonts w:asciiTheme="minorHAnsi" w:hAnsiTheme="minorHAnsi" w:cstheme="minorHAnsi"/>
          <w:sz w:val="22"/>
          <w:szCs w:val="22"/>
          <w:lang w:val="en-US"/>
        </w:rPr>
      </w:pPr>
    </w:p>
    <w:p w14:paraId="2E84C004" w14:textId="77777777" w:rsidR="00504E71" w:rsidRDefault="00504E71" w:rsidP="00504E71">
      <w:pPr>
        <w:jc w:val="both"/>
        <w:rPr>
          <w:rFonts w:asciiTheme="minorHAnsi" w:hAnsiTheme="minorHAnsi" w:cstheme="minorHAnsi"/>
          <w:color w:val="FF0000"/>
          <w:sz w:val="22"/>
          <w:szCs w:val="22"/>
        </w:rPr>
      </w:pPr>
      <w:r w:rsidRPr="007D68D8">
        <w:rPr>
          <w:rFonts w:asciiTheme="minorHAnsi" w:hAnsiTheme="minorHAnsi" w:cstheme="minorHAnsi"/>
          <w:color w:val="FF0000"/>
          <w:sz w:val="22"/>
          <w:szCs w:val="22"/>
        </w:rPr>
        <w:lastRenderedPageBreak/>
        <w:t xml:space="preserve">Expected Deliverables and timeline </w:t>
      </w:r>
    </w:p>
    <w:p w14:paraId="35C7364A" w14:textId="77777777" w:rsidR="00504E71" w:rsidRPr="007D68D8" w:rsidRDefault="00504E71" w:rsidP="00504E71">
      <w:pPr>
        <w:jc w:val="both"/>
        <w:rPr>
          <w:rFonts w:asciiTheme="minorHAnsi" w:hAnsiTheme="minorHAnsi" w:cstheme="minorHAnsi"/>
          <w:sz w:val="22"/>
          <w:szCs w:val="22"/>
        </w:rPr>
      </w:pPr>
    </w:p>
    <w:tbl>
      <w:tblPr>
        <w:tblStyle w:val="TableGrid"/>
        <w:tblW w:w="9209" w:type="dxa"/>
        <w:tblLook w:val="04A0" w:firstRow="1" w:lastRow="0" w:firstColumn="1" w:lastColumn="0" w:noHBand="0" w:noVBand="1"/>
      </w:tblPr>
      <w:tblGrid>
        <w:gridCol w:w="4957"/>
        <w:gridCol w:w="1984"/>
        <w:gridCol w:w="2268"/>
      </w:tblGrid>
      <w:tr w:rsidR="00504E71" w:rsidRPr="007D68D8" w14:paraId="4D9A02B0" w14:textId="77777777" w:rsidTr="009B247E">
        <w:trPr>
          <w:trHeight w:val="272"/>
        </w:trPr>
        <w:tc>
          <w:tcPr>
            <w:tcW w:w="4957" w:type="dxa"/>
            <w:tcBorders>
              <w:bottom w:val="single" w:sz="4" w:space="0" w:color="auto"/>
            </w:tcBorders>
            <w:shd w:val="clear" w:color="auto" w:fill="E7E6E6" w:themeFill="background2"/>
          </w:tcPr>
          <w:p w14:paraId="367A90BF" w14:textId="77777777" w:rsidR="00504E71" w:rsidRPr="007D68D8" w:rsidRDefault="00504E71" w:rsidP="009B247E">
            <w:pPr>
              <w:jc w:val="both"/>
              <w:rPr>
                <w:rFonts w:asciiTheme="minorHAnsi" w:hAnsiTheme="minorHAnsi" w:cstheme="minorHAnsi"/>
                <w:b/>
                <w:sz w:val="22"/>
                <w:szCs w:val="22"/>
                <w:lang w:val="en-GB"/>
              </w:rPr>
            </w:pPr>
            <w:r w:rsidRPr="007D68D8">
              <w:rPr>
                <w:rFonts w:asciiTheme="minorHAnsi" w:hAnsiTheme="minorHAnsi" w:cstheme="minorHAnsi"/>
                <w:b/>
                <w:sz w:val="22"/>
                <w:szCs w:val="22"/>
                <w:lang w:val="en-GB"/>
              </w:rPr>
              <w:t xml:space="preserve">Deliverable </w:t>
            </w:r>
          </w:p>
        </w:tc>
        <w:tc>
          <w:tcPr>
            <w:tcW w:w="1984" w:type="dxa"/>
            <w:shd w:val="clear" w:color="auto" w:fill="E7E6E6" w:themeFill="background2"/>
          </w:tcPr>
          <w:p w14:paraId="170FBD64" w14:textId="77777777" w:rsidR="00504E71" w:rsidRPr="007D68D8" w:rsidRDefault="00504E71" w:rsidP="009B247E">
            <w:pPr>
              <w:jc w:val="both"/>
              <w:rPr>
                <w:rFonts w:asciiTheme="minorHAnsi" w:hAnsiTheme="minorHAnsi" w:cstheme="minorHAnsi"/>
                <w:b/>
                <w:sz w:val="22"/>
                <w:szCs w:val="22"/>
                <w:lang w:val="en-GB"/>
              </w:rPr>
            </w:pPr>
            <w:r w:rsidRPr="007D68D8">
              <w:rPr>
                <w:rFonts w:asciiTheme="minorHAnsi" w:hAnsiTheme="minorHAnsi" w:cstheme="minorHAnsi"/>
                <w:b/>
                <w:sz w:val="22"/>
                <w:szCs w:val="22"/>
                <w:lang w:val="en-GB"/>
              </w:rPr>
              <w:t>Payment Amount</w:t>
            </w:r>
          </w:p>
        </w:tc>
        <w:tc>
          <w:tcPr>
            <w:tcW w:w="2268" w:type="dxa"/>
            <w:shd w:val="clear" w:color="auto" w:fill="E7E6E6" w:themeFill="background2"/>
          </w:tcPr>
          <w:p w14:paraId="51E15C2D" w14:textId="77777777" w:rsidR="00504E71" w:rsidRPr="007D68D8" w:rsidRDefault="00504E71" w:rsidP="009B247E">
            <w:pPr>
              <w:jc w:val="both"/>
              <w:rPr>
                <w:rFonts w:asciiTheme="minorHAnsi" w:hAnsiTheme="minorHAnsi" w:cstheme="minorHAnsi"/>
                <w:b/>
                <w:sz w:val="22"/>
                <w:szCs w:val="22"/>
                <w:lang w:val="en-GB"/>
              </w:rPr>
            </w:pPr>
            <w:r w:rsidRPr="007D68D8">
              <w:rPr>
                <w:rFonts w:asciiTheme="minorHAnsi" w:hAnsiTheme="minorHAnsi" w:cstheme="minorHAnsi"/>
                <w:b/>
                <w:sz w:val="22"/>
                <w:szCs w:val="22"/>
                <w:lang w:val="en-GB"/>
              </w:rPr>
              <w:t>Due dates</w:t>
            </w:r>
          </w:p>
        </w:tc>
      </w:tr>
      <w:tr w:rsidR="00E35629" w:rsidRPr="007D68D8" w14:paraId="32956DD8" w14:textId="77777777" w:rsidTr="009B247E">
        <w:trPr>
          <w:trHeight w:val="257"/>
        </w:trPr>
        <w:tc>
          <w:tcPr>
            <w:tcW w:w="4957" w:type="dxa"/>
          </w:tcPr>
          <w:p w14:paraId="2865F9B3" w14:textId="77777777" w:rsidR="00E35629" w:rsidRPr="007D68D8" w:rsidRDefault="00E35629" w:rsidP="00E35629">
            <w:pPr>
              <w:jc w:val="both"/>
              <w:rPr>
                <w:rFonts w:asciiTheme="minorHAnsi" w:hAnsiTheme="minorHAnsi" w:cstheme="minorHAnsi"/>
                <w:b/>
                <w:sz w:val="22"/>
                <w:szCs w:val="22"/>
              </w:rPr>
            </w:pPr>
            <w:r w:rsidRPr="007D68D8">
              <w:rPr>
                <w:rFonts w:asciiTheme="minorHAnsi" w:hAnsiTheme="minorHAnsi" w:cstheme="minorHAnsi"/>
                <w:b/>
                <w:sz w:val="22"/>
                <w:szCs w:val="22"/>
              </w:rPr>
              <w:t xml:space="preserve">Deliverable 1: Inception Report </w:t>
            </w:r>
          </w:p>
          <w:p w14:paraId="6B2900BF" w14:textId="77777777" w:rsidR="00E35629" w:rsidRPr="007D68D8" w:rsidRDefault="00E35629" w:rsidP="00E35629">
            <w:pPr>
              <w:jc w:val="both"/>
              <w:rPr>
                <w:rFonts w:asciiTheme="minorHAnsi" w:hAnsiTheme="minorHAnsi" w:cstheme="minorHAnsi"/>
                <w:sz w:val="22"/>
                <w:szCs w:val="22"/>
              </w:rPr>
            </w:pPr>
            <w:r w:rsidRPr="007D68D8">
              <w:rPr>
                <w:rFonts w:asciiTheme="minorHAnsi" w:hAnsiTheme="minorHAnsi" w:cstheme="minorHAnsi"/>
                <w:sz w:val="22"/>
                <w:szCs w:val="22"/>
              </w:rPr>
              <w:t>The inception report will include final research methodology, detailed work plan for the research, data collection instruments (including questionnaire for the interviews), roles and responsibilities of the team members and identification of interview respondents.</w:t>
            </w:r>
          </w:p>
          <w:p w14:paraId="1F0E8C7C" w14:textId="77777777" w:rsidR="00E35629" w:rsidRPr="007D68D8" w:rsidRDefault="00E35629" w:rsidP="00E35629">
            <w:pPr>
              <w:jc w:val="both"/>
              <w:rPr>
                <w:rFonts w:asciiTheme="minorHAnsi" w:hAnsiTheme="minorHAnsi" w:cstheme="minorHAnsi"/>
                <w:sz w:val="22"/>
                <w:szCs w:val="22"/>
              </w:rPr>
            </w:pPr>
          </w:p>
        </w:tc>
        <w:tc>
          <w:tcPr>
            <w:tcW w:w="1984" w:type="dxa"/>
          </w:tcPr>
          <w:p w14:paraId="0C303682" w14:textId="77777777" w:rsidR="00E35629" w:rsidRPr="007D68D8" w:rsidRDefault="00E35629" w:rsidP="00E35629">
            <w:pPr>
              <w:jc w:val="both"/>
              <w:rPr>
                <w:rFonts w:asciiTheme="minorHAnsi" w:hAnsiTheme="minorHAnsi" w:cstheme="minorHAnsi"/>
                <w:sz w:val="22"/>
                <w:szCs w:val="22"/>
              </w:rPr>
            </w:pPr>
            <w:r w:rsidRPr="007D68D8">
              <w:rPr>
                <w:rFonts w:asciiTheme="minorHAnsi" w:hAnsiTheme="minorHAnsi" w:cstheme="minorHAnsi"/>
                <w:sz w:val="22"/>
                <w:szCs w:val="22"/>
              </w:rPr>
              <w:t>10%</w:t>
            </w:r>
          </w:p>
        </w:tc>
        <w:tc>
          <w:tcPr>
            <w:tcW w:w="2268" w:type="dxa"/>
          </w:tcPr>
          <w:p w14:paraId="30A7DB51" w14:textId="377C92E0" w:rsidR="00E35629" w:rsidRPr="007D68D8" w:rsidRDefault="00E35629" w:rsidP="00E35629">
            <w:pPr>
              <w:jc w:val="both"/>
              <w:rPr>
                <w:rFonts w:asciiTheme="minorHAnsi" w:hAnsiTheme="minorHAnsi" w:cstheme="minorHAnsi"/>
                <w:sz w:val="22"/>
                <w:szCs w:val="22"/>
              </w:rPr>
            </w:pPr>
            <w:r>
              <w:rPr>
                <w:rFonts w:asciiTheme="minorHAnsi" w:hAnsiTheme="minorHAnsi" w:cstheme="minorHAnsi"/>
                <w:sz w:val="22"/>
                <w:szCs w:val="22"/>
              </w:rPr>
              <w:t>1</w:t>
            </w:r>
            <w:r w:rsidRPr="007D68D8">
              <w:rPr>
                <w:rFonts w:asciiTheme="minorHAnsi" w:hAnsiTheme="minorHAnsi" w:cstheme="minorHAnsi"/>
                <w:sz w:val="22"/>
                <w:szCs w:val="22"/>
              </w:rPr>
              <w:t xml:space="preserve"> January 2021</w:t>
            </w:r>
          </w:p>
        </w:tc>
      </w:tr>
      <w:tr w:rsidR="00504E71" w:rsidRPr="007D68D8" w14:paraId="4CDAA3F1" w14:textId="77777777" w:rsidTr="009B247E">
        <w:trPr>
          <w:trHeight w:val="257"/>
        </w:trPr>
        <w:tc>
          <w:tcPr>
            <w:tcW w:w="4957" w:type="dxa"/>
          </w:tcPr>
          <w:p w14:paraId="29A3D2E2" w14:textId="77777777" w:rsidR="00504E71" w:rsidRPr="007D68D8" w:rsidRDefault="00504E71" w:rsidP="009B247E">
            <w:pPr>
              <w:jc w:val="both"/>
              <w:rPr>
                <w:rFonts w:asciiTheme="minorHAnsi" w:hAnsiTheme="minorHAnsi" w:cstheme="minorHAnsi"/>
                <w:sz w:val="22"/>
                <w:szCs w:val="22"/>
              </w:rPr>
            </w:pPr>
            <w:r w:rsidRPr="007D68D8">
              <w:rPr>
                <w:rFonts w:asciiTheme="minorHAnsi" w:hAnsiTheme="minorHAnsi" w:cstheme="minorHAnsi"/>
                <w:b/>
                <w:sz w:val="22"/>
                <w:szCs w:val="22"/>
              </w:rPr>
              <w:t>Deliverable 2: Interim Report</w:t>
            </w:r>
            <w:r w:rsidRPr="007D68D8">
              <w:rPr>
                <w:rFonts w:asciiTheme="minorHAnsi" w:hAnsiTheme="minorHAnsi" w:cstheme="minorHAnsi"/>
                <w:sz w:val="22"/>
                <w:szCs w:val="22"/>
              </w:rPr>
              <w:t xml:space="preserve"> with analysis and results of the findings from the research study as on date for review and feedback by UN Women</w:t>
            </w:r>
          </w:p>
          <w:p w14:paraId="0CDDF2A9" w14:textId="77777777" w:rsidR="00504E71" w:rsidRPr="007D68D8" w:rsidDel="005962DA" w:rsidRDefault="00504E71" w:rsidP="009B247E">
            <w:pPr>
              <w:jc w:val="both"/>
              <w:rPr>
                <w:rFonts w:asciiTheme="minorHAnsi" w:hAnsiTheme="minorHAnsi" w:cstheme="minorHAnsi"/>
                <w:sz w:val="22"/>
                <w:szCs w:val="22"/>
              </w:rPr>
            </w:pPr>
          </w:p>
        </w:tc>
        <w:tc>
          <w:tcPr>
            <w:tcW w:w="1984" w:type="dxa"/>
          </w:tcPr>
          <w:p w14:paraId="39B2E69B" w14:textId="77777777" w:rsidR="00504E71" w:rsidRPr="007D68D8" w:rsidRDefault="00504E71" w:rsidP="009B247E">
            <w:pPr>
              <w:jc w:val="both"/>
              <w:rPr>
                <w:rFonts w:asciiTheme="minorHAnsi" w:hAnsiTheme="minorHAnsi" w:cstheme="minorHAnsi"/>
                <w:sz w:val="22"/>
                <w:szCs w:val="22"/>
              </w:rPr>
            </w:pPr>
            <w:r w:rsidRPr="007D68D8">
              <w:rPr>
                <w:rFonts w:asciiTheme="minorHAnsi" w:hAnsiTheme="minorHAnsi" w:cstheme="minorHAnsi"/>
                <w:sz w:val="22"/>
                <w:szCs w:val="22"/>
              </w:rPr>
              <w:t>20%</w:t>
            </w:r>
          </w:p>
        </w:tc>
        <w:tc>
          <w:tcPr>
            <w:tcW w:w="2268" w:type="dxa"/>
          </w:tcPr>
          <w:p w14:paraId="1F459E67" w14:textId="6BB9920A" w:rsidR="00504E71" w:rsidRPr="007D68D8" w:rsidDel="00FF301A" w:rsidRDefault="00E35629" w:rsidP="009B247E">
            <w:pPr>
              <w:jc w:val="both"/>
              <w:rPr>
                <w:rFonts w:asciiTheme="minorHAnsi" w:hAnsiTheme="minorHAnsi" w:cstheme="minorHAnsi"/>
                <w:sz w:val="22"/>
                <w:szCs w:val="22"/>
              </w:rPr>
            </w:pPr>
            <w:r>
              <w:rPr>
                <w:rFonts w:asciiTheme="minorHAnsi" w:hAnsiTheme="minorHAnsi" w:cstheme="minorHAnsi"/>
                <w:sz w:val="22"/>
                <w:szCs w:val="22"/>
              </w:rPr>
              <w:t>22</w:t>
            </w:r>
            <w:r w:rsidR="00504E71" w:rsidRPr="007D68D8">
              <w:rPr>
                <w:rFonts w:asciiTheme="minorHAnsi" w:hAnsiTheme="minorHAnsi" w:cstheme="minorHAnsi"/>
                <w:sz w:val="22"/>
                <w:szCs w:val="22"/>
              </w:rPr>
              <w:t xml:space="preserve"> January 2021</w:t>
            </w:r>
          </w:p>
        </w:tc>
      </w:tr>
      <w:tr w:rsidR="00504E71" w:rsidRPr="007D68D8" w14:paraId="259C0A04" w14:textId="77777777" w:rsidTr="009B247E">
        <w:trPr>
          <w:trHeight w:val="287"/>
        </w:trPr>
        <w:tc>
          <w:tcPr>
            <w:tcW w:w="4957" w:type="dxa"/>
          </w:tcPr>
          <w:p w14:paraId="7AD03C2C" w14:textId="77777777" w:rsidR="00504E71" w:rsidRPr="007D68D8" w:rsidRDefault="00504E71" w:rsidP="009B247E">
            <w:pPr>
              <w:jc w:val="both"/>
              <w:rPr>
                <w:rFonts w:asciiTheme="minorHAnsi" w:hAnsiTheme="minorHAnsi" w:cstheme="minorHAnsi"/>
                <w:sz w:val="22"/>
                <w:szCs w:val="22"/>
              </w:rPr>
            </w:pPr>
            <w:r w:rsidRPr="007D68D8">
              <w:rPr>
                <w:rFonts w:asciiTheme="minorHAnsi" w:hAnsiTheme="minorHAnsi" w:cstheme="minorHAnsi"/>
                <w:b/>
                <w:sz w:val="22"/>
                <w:szCs w:val="22"/>
              </w:rPr>
              <w:t>Deliverable 3: Draft Research Report</w:t>
            </w:r>
            <w:r w:rsidRPr="007D68D8">
              <w:rPr>
                <w:rFonts w:asciiTheme="minorHAnsi" w:hAnsiTheme="minorHAnsi" w:cstheme="minorHAnsi"/>
                <w:sz w:val="22"/>
                <w:szCs w:val="22"/>
              </w:rPr>
              <w:t xml:space="preserve"> for review and feedback by UN Women</w:t>
            </w:r>
          </w:p>
          <w:p w14:paraId="21A16C35" w14:textId="77777777" w:rsidR="00504E71" w:rsidRPr="007D68D8" w:rsidRDefault="00504E71" w:rsidP="009B247E">
            <w:pPr>
              <w:jc w:val="both"/>
              <w:rPr>
                <w:rFonts w:asciiTheme="minorHAnsi" w:hAnsiTheme="minorHAnsi" w:cstheme="minorHAnsi"/>
                <w:sz w:val="22"/>
                <w:szCs w:val="22"/>
              </w:rPr>
            </w:pPr>
          </w:p>
        </w:tc>
        <w:tc>
          <w:tcPr>
            <w:tcW w:w="1984" w:type="dxa"/>
          </w:tcPr>
          <w:p w14:paraId="48C0E96C" w14:textId="77777777" w:rsidR="00504E71" w:rsidRPr="007D68D8" w:rsidRDefault="00504E71" w:rsidP="009B247E">
            <w:pPr>
              <w:jc w:val="both"/>
              <w:rPr>
                <w:rFonts w:asciiTheme="minorHAnsi" w:hAnsiTheme="minorHAnsi" w:cstheme="minorHAnsi"/>
                <w:sz w:val="22"/>
                <w:szCs w:val="22"/>
              </w:rPr>
            </w:pPr>
            <w:r w:rsidRPr="007D68D8">
              <w:rPr>
                <w:rFonts w:asciiTheme="minorHAnsi" w:hAnsiTheme="minorHAnsi" w:cstheme="minorHAnsi"/>
                <w:sz w:val="22"/>
                <w:szCs w:val="22"/>
              </w:rPr>
              <w:t>30%</w:t>
            </w:r>
          </w:p>
        </w:tc>
        <w:tc>
          <w:tcPr>
            <w:tcW w:w="2268" w:type="dxa"/>
          </w:tcPr>
          <w:p w14:paraId="2BC7A89B" w14:textId="77777777" w:rsidR="00504E71" w:rsidRPr="007D68D8" w:rsidRDefault="00504E71" w:rsidP="009B247E">
            <w:pPr>
              <w:jc w:val="both"/>
              <w:rPr>
                <w:rFonts w:asciiTheme="minorHAnsi" w:hAnsiTheme="minorHAnsi" w:cstheme="minorHAnsi"/>
                <w:sz w:val="22"/>
                <w:szCs w:val="22"/>
              </w:rPr>
            </w:pPr>
            <w:r w:rsidRPr="007D68D8">
              <w:rPr>
                <w:rFonts w:asciiTheme="minorHAnsi" w:hAnsiTheme="minorHAnsi" w:cstheme="minorHAnsi"/>
                <w:sz w:val="22"/>
                <w:szCs w:val="22"/>
              </w:rPr>
              <w:t>24 February 2021</w:t>
            </w:r>
          </w:p>
        </w:tc>
      </w:tr>
      <w:tr w:rsidR="00504E71" w:rsidRPr="007D68D8" w14:paraId="3C5ACB60" w14:textId="77777777" w:rsidTr="009B247E">
        <w:trPr>
          <w:trHeight w:val="287"/>
        </w:trPr>
        <w:tc>
          <w:tcPr>
            <w:tcW w:w="4957" w:type="dxa"/>
          </w:tcPr>
          <w:p w14:paraId="6E390EC5" w14:textId="77777777" w:rsidR="00504E71" w:rsidRPr="007D68D8" w:rsidRDefault="00504E71" w:rsidP="009B247E">
            <w:pPr>
              <w:jc w:val="both"/>
              <w:rPr>
                <w:rFonts w:asciiTheme="minorHAnsi" w:hAnsiTheme="minorHAnsi" w:cstheme="minorHAnsi"/>
                <w:sz w:val="22"/>
                <w:szCs w:val="22"/>
              </w:rPr>
            </w:pPr>
            <w:r w:rsidRPr="007D68D8">
              <w:rPr>
                <w:rFonts w:asciiTheme="minorHAnsi" w:hAnsiTheme="minorHAnsi" w:cstheme="minorHAnsi"/>
                <w:b/>
                <w:sz w:val="22"/>
                <w:szCs w:val="22"/>
              </w:rPr>
              <w:t>Deliverable 4: Final Research Report</w:t>
            </w:r>
            <w:r w:rsidRPr="007D68D8">
              <w:rPr>
                <w:rFonts w:asciiTheme="minorHAnsi" w:hAnsiTheme="minorHAnsi" w:cstheme="minorHAnsi"/>
                <w:sz w:val="22"/>
                <w:szCs w:val="22"/>
              </w:rPr>
              <w:t xml:space="preserve"> incorporated with UN Women feedback. An edited, proof- read, </w:t>
            </w:r>
            <w:proofErr w:type="gramStart"/>
            <w:r w:rsidRPr="007D68D8">
              <w:rPr>
                <w:rFonts w:asciiTheme="minorHAnsi" w:hAnsiTheme="minorHAnsi" w:cstheme="minorHAnsi"/>
                <w:sz w:val="22"/>
                <w:szCs w:val="22"/>
              </w:rPr>
              <w:t>designed</w:t>
            </w:r>
            <w:proofErr w:type="gramEnd"/>
            <w:r w:rsidRPr="007D68D8">
              <w:rPr>
                <w:rFonts w:asciiTheme="minorHAnsi" w:hAnsiTheme="minorHAnsi" w:cstheme="minorHAnsi"/>
                <w:sz w:val="22"/>
                <w:szCs w:val="22"/>
              </w:rPr>
              <w:t xml:space="preserve"> and print ready version of the final report will be submitted by the organization and that should not exceed 70 pages, excluding Annexes. The Report should contain at least the following sections: </w:t>
            </w:r>
          </w:p>
          <w:p w14:paraId="1DF89B2C" w14:textId="77777777" w:rsidR="00504E71" w:rsidRPr="007D68D8" w:rsidRDefault="00504E71" w:rsidP="00504E71">
            <w:pPr>
              <w:pStyle w:val="ListParagraph"/>
              <w:numPr>
                <w:ilvl w:val="0"/>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 xml:space="preserve">Executive Summary (maximum 5 pages) with summary information in at least 2 formats (e.g. </w:t>
            </w:r>
            <w:r w:rsidRPr="007D68D8">
              <w:rPr>
                <w:rFonts w:asciiTheme="minorHAnsi" w:hAnsiTheme="minorHAnsi" w:cstheme="minorHAnsi"/>
                <w:bCs/>
                <w:sz w:val="22"/>
                <w:szCs w:val="22"/>
                <w:lang w:val="en-CA"/>
              </w:rPr>
              <w:t>infographics</w:t>
            </w:r>
            <w:r w:rsidRPr="007D68D8">
              <w:rPr>
                <w:rFonts w:asciiTheme="minorHAnsi" w:hAnsiTheme="minorHAnsi" w:cstheme="minorHAnsi"/>
                <w:sz w:val="22"/>
                <w:szCs w:val="22"/>
                <w:lang w:val="en-CA"/>
              </w:rPr>
              <w:t xml:space="preserve">, PowerPoint). This should include the pertinent information presented in the executive summary, as well as any relevant graphics or diagrams to enable an overview presentation of the research. </w:t>
            </w:r>
          </w:p>
          <w:p w14:paraId="6565A759" w14:textId="77777777" w:rsidR="00504E71" w:rsidRPr="007D68D8" w:rsidRDefault="00504E71" w:rsidP="00504E71">
            <w:pPr>
              <w:pStyle w:val="ListParagraph"/>
              <w:numPr>
                <w:ilvl w:val="0"/>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 xml:space="preserve">Background and context </w:t>
            </w:r>
          </w:p>
          <w:p w14:paraId="07D1DC4C" w14:textId="77777777" w:rsidR="00504E71" w:rsidRPr="007D68D8" w:rsidRDefault="00504E71" w:rsidP="00504E71">
            <w:pPr>
              <w:pStyle w:val="ListParagraph"/>
              <w:numPr>
                <w:ilvl w:val="0"/>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 xml:space="preserve">Research purpose </w:t>
            </w:r>
          </w:p>
          <w:p w14:paraId="18FD16B8" w14:textId="77777777" w:rsidR="00504E71" w:rsidRPr="007D68D8" w:rsidRDefault="00504E71" w:rsidP="00504E71">
            <w:pPr>
              <w:pStyle w:val="ListParagraph"/>
              <w:numPr>
                <w:ilvl w:val="0"/>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Research approach and methodology</w:t>
            </w:r>
          </w:p>
          <w:p w14:paraId="405D52C8" w14:textId="77777777" w:rsidR="00504E71" w:rsidRPr="007D68D8" w:rsidRDefault="00504E71" w:rsidP="00504E71">
            <w:pPr>
              <w:pStyle w:val="ListParagraph"/>
              <w:numPr>
                <w:ilvl w:val="0"/>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 xml:space="preserve">Findings – from various data sources including desk reviews, case studies, interviews, surveys etc. Provide explanation of findings and interpretations </w:t>
            </w:r>
          </w:p>
          <w:p w14:paraId="573D9680" w14:textId="77777777" w:rsidR="00504E71" w:rsidRPr="007D68D8" w:rsidRDefault="00504E71" w:rsidP="00504E71">
            <w:pPr>
              <w:pStyle w:val="ListParagraph"/>
              <w:numPr>
                <w:ilvl w:val="0"/>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 xml:space="preserve">Conclusions and lessons learnt </w:t>
            </w:r>
          </w:p>
          <w:p w14:paraId="70C39027" w14:textId="77777777" w:rsidR="00504E71" w:rsidRPr="007D68D8" w:rsidRDefault="00504E71" w:rsidP="00504E71">
            <w:pPr>
              <w:pStyle w:val="ListParagraph"/>
              <w:numPr>
                <w:ilvl w:val="0"/>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 xml:space="preserve">Recommendations </w:t>
            </w:r>
          </w:p>
          <w:p w14:paraId="197E1857" w14:textId="77777777" w:rsidR="00504E71" w:rsidRPr="007D68D8" w:rsidRDefault="00504E71" w:rsidP="00504E71">
            <w:pPr>
              <w:pStyle w:val="ListParagraph"/>
              <w:numPr>
                <w:ilvl w:val="0"/>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 xml:space="preserve">Annexes: </w:t>
            </w:r>
          </w:p>
          <w:p w14:paraId="157871F0" w14:textId="77777777" w:rsidR="00504E71" w:rsidRPr="007D68D8" w:rsidRDefault="00504E71" w:rsidP="00504E71">
            <w:pPr>
              <w:pStyle w:val="ListParagraph"/>
              <w:numPr>
                <w:ilvl w:val="1"/>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 xml:space="preserve">Data collection instruments: interview/survey questionnaire, focus group discussions questionnaire; case studies </w:t>
            </w:r>
          </w:p>
          <w:p w14:paraId="48B7BDBB" w14:textId="77777777" w:rsidR="00504E71" w:rsidRPr="007D68D8" w:rsidRDefault="00504E71" w:rsidP="00504E71">
            <w:pPr>
              <w:pStyle w:val="ListParagraph"/>
              <w:numPr>
                <w:ilvl w:val="1"/>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List of participants interviewed</w:t>
            </w:r>
          </w:p>
          <w:p w14:paraId="4BF69BF4" w14:textId="77777777" w:rsidR="00504E71" w:rsidRPr="007D68D8" w:rsidRDefault="00504E71" w:rsidP="00504E71">
            <w:pPr>
              <w:pStyle w:val="ListParagraph"/>
              <w:numPr>
                <w:ilvl w:val="1"/>
                <w:numId w:val="10"/>
              </w:numPr>
              <w:jc w:val="both"/>
              <w:rPr>
                <w:rFonts w:asciiTheme="minorHAnsi" w:hAnsiTheme="minorHAnsi" w:cstheme="minorHAnsi"/>
                <w:sz w:val="22"/>
                <w:szCs w:val="22"/>
                <w:lang w:val="en-CA"/>
              </w:rPr>
            </w:pPr>
            <w:r w:rsidRPr="007D68D8">
              <w:rPr>
                <w:rFonts w:asciiTheme="minorHAnsi" w:hAnsiTheme="minorHAnsi" w:cstheme="minorHAnsi"/>
                <w:sz w:val="22"/>
                <w:szCs w:val="22"/>
                <w:lang w:val="en-CA"/>
              </w:rPr>
              <w:t xml:space="preserve">List of documents reviewed </w:t>
            </w:r>
          </w:p>
        </w:tc>
        <w:tc>
          <w:tcPr>
            <w:tcW w:w="1984" w:type="dxa"/>
          </w:tcPr>
          <w:p w14:paraId="4EC9C47E" w14:textId="77777777" w:rsidR="00504E71" w:rsidRPr="007D68D8" w:rsidRDefault="00504E71" w:rsidP="009B247E">
            <w:pPr>
              <w:jc w:val="both"/>
              <w:rPr>
                <w:rFonts w:asciiTheme="minorHAnsi" w:hAnsiTheme="minorHAnsi" w:cstheme="minorHAnsi"/>
                <w:sz w:val="22"/>
                <w:szCs w:val="22"/>
              </w:rPr>
            </w:pPr>
            <w:r w:rsidRPr="007D68D8">
              <w:rPr>
                <w:rFonts w:asciiTheme="minorHAnsi" w:hAnsiTheme="minorHAnsi" w:cstheme="minorHAnsi"/>
                <w:sz w:val="22"/>
                <w:szCs w:val="22"/>
              </w:rPr>
              <w:t>40%</w:t>
            </w:r>
          </w:p>
        </w:tc>
        <w:tc>
          <w:tcPr>
            <w:tcW w:w="2268" w:type="dxa"/>
          </w:tcPr>
          <w:p w14:paraId="2D840259" w14:textId="77777777" w:rsidR="00504E71" w:rsidRPr="007D68D8" w:rsidRDefault="00504E71" w:rsidP="009B247E">
            <w:pPr>
              <w:jc w:val="both"/>
              <w:rPr>
                <w:rFonts w:asciiTheme="minorHAnsi" w:hAnsiTheme="minorHAnsi" w:cstheme="minorHAnsi"/>
                <w:sz w:val="22"/>
                <w:szCs w:val="22"/>
              </w:rPr>
            </w:pPr>
            <w:r w:rsidRPr="007D68D8">
              <w:rPr>
                <w:rFonts w:asciiTheme="minorHAnsi" w:hAnsiTheme="minorHAnsi" w:cstheme="minorHAnsi"/>
                <w:sz w:val="22"/>
                <w:szCs w:val="22"/>
              </w:rPr>
              <w:t>7 March 2021</w:t>
            </w:r>
          </w:p>
        </w:tc>
      </w:tr>
    </w:tbl>
    <w:p w14:paraId="2FAF47E1" w14:textId="77777777" w:rsidR="004E1C47" w:rsidRDefault="004E1C47"/>
    <w:sectPr w:rsidR="004E1C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991E1" w14:textId="77777777" w:rsidR="00B91E54" w:rsidRDefault="00B91E54" w:rsidP="00504E71">
      <w:r>
        <w:separator/>
      </w:r>
    </w:p>
  </w:endnote>
  <w:endnote w:type="continuationSeparator" w:id="0">
    <w:p w14:paraId="2FF5DA47" w14:textId="77777777" w:rsidR="00B91E54" w:rsidRDefault="00B91E54" w:rsidP="0050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EDC9D" w14:textId="77777777" w:rsidR="00B91E54" w:rsidRDefault="00B91E54" w:rsidP="00504E71">
      <w:r>
        <w:separator/>
      </w:r>
    </w:p>
  </w:footnote>
  <w:footnote w:type="continuationSeparator" w:id="0">
    <w:p w14:paraId="67227114" w14:textId="77777777" w:rsidR="00B91E54" w:rsidRDefault="00B91E54" w:rsidP="00504E71">
      <w:r>
        <w:continuationSeparator/>
      </w:r>
    </w:p>
  </w:footnote>
  <w:footnote w:id="1">
    <w:p w14:paraId="520B82F7" w14:textId="77777777" w:rsidR="00504E71" w:rsidRPr="00E84DDE" w:rsidRDefault="00504E71" w:rsidP="00504E71">
      <w:pPr>
        <w:pStyle w:val="FootnoteText"/>
        <w:rPr>
          <w:sz w:val="18"/>
          <w:szCs w:val="18"/>
          <w:lang w:val="en-CA"/>
        </w:rPr>
      </w:pPr>
      <w:r w:rsidRPr="00E84DDE">
        <w:rPr>
          <w:rStyle w:val="FootnoteReference"/>
          <w:sz w:val="18"/>
          <w:szCs w:val="18"/>
        </w:rPr>
        <w:footnoteRef/>
      </w:r>
      <w:r w:rsidRPr="00E84DDE">
        <w:rPr>
          <w:sz w:val="18"/>
          <w:szCs w:val="18"/>
        </w:rPr>
        <w:t xml:space="preserve"> UN Women, Issue Brief: </w:t>
      </w:r>
      <w:r w:rsidRPr="00E84DDE">
        <w:rPr>
          <w:sz w:val="18"/>
          <w:szCs w:val="18"/>
          <w:lang w:val="en-CA"/>
        </w:rPr>
        <w:t xml:space="preserve">Making the SDGs count for Women and Girls with Disabilities, October 2019, available at: </w:t>
      </w:r>
    </w:p>
    <w:p w14:paraId="1EAC1D7E" w14:textId="77777777" w:rsidR="00504E71" w:rsidRPr="00E84DDE" w:rsidRDefault="00B91E54" w:rsidP="00504E71">
      <w:pPr>
        <w:pStyle w:val="FootnoteText"/>
        <w:rPr>
          <w:sz w:val="18"/>
          <w:szCs w:val="18"/>
          <w:lang w:val="en-CA"/>
        </w:rPr>
      </w:pPr>
      <w:hyperlink r:id="rId1" w:history="1">
        <w:r w:rsidR="00504E71" w:rsidRPr="00E84DDE">
          <w:rPr>
            <w:rStyle w:val="Hyperlink"/>
            <w:sz w:val="18"/>
            <w:szCs w:val="18"/>
            <w:lang w:val="en-CA"/>
          </w:rPr>
          <w:t>https://www.un.org/development/desa/disabilities/wp-content/uploads/sites/15/2019/10/Making-SDGs-count-for-women-with-disabilities.pdf</w:t>
        </w:r>
      </w:hyperlink>
      <w:r w:rsidR="00504E71" w:rsidRPr="00E84DDE">
        <w:rPr>
          <w:sz w:val="18"/>
          <w:szCs w:val="18"/>
          <w:lang w:val="en-CA"/>
        </w:rPr>
        <w:t xml:space="preserve"> </w:t>
      </w:r>
    </w:p>
  </w:footnote>
  <w:footnote w:id="2">
    <w:p w14:paraId="4BF4237E" w14:textId="77777777" w:rsidR="00504E71" w:rsidRPr="00E84DDE" w:rsidRDefault="00504E71" w:rsidP="00504E71">
      <w:pPr>
        <w:pStyle w:val="FootnoteText"/>
        <w:rPr>
          <w:sz w:val="18"/>
          <w:szCs w:val="18"/>
          <w:lang w:val="en-CA"/>
        </w:rPr>
      </w:pPr>
      <w:r w:rsidRPr="00E84DDE">
        <w:rPr>
          <w:rStyle w:val="FootnoteReference"/>
          <w:sz w:val="18"/>
          <w:szCs w:val="18"/>
        </w:rPr>
        <w:footnoteRef/>
      </w:r>
      <w:r w:rsidRPr="00E84DDE">
        <w:rPr>
          <w:sz w:val="18"/>
          <w:szCs w:val="18"/>
        </w:rPr>
        <w:t xml:space="preserve"> </w:t>
      </w:r>
      <w:r w:rsidRPr="00E84DDE">
        <w:rPr>
          <w:sz w:val="18"/>
          <w:szCs w:val="18"/>
          <w:lang w:val="en-CA"/>
        </w:rPr>
        <w:t xml:space="preserve">Economic and Social Commission for Western Asia (ESCWA), Disability in the Arab Region, 2018, p. 14, available at: </w:t>
      </w:r>
      <w:hyperlink r:id="rId2" w:history="1">
        <w:r w:rsidRPr="00E84DDE">
          <w:rPr>
            <w:rStyle w:val="Hyperlink"/>
            <w:sz w:val="18"/>
            <w:szCs w:val="18"/>
            <w:lang w:val="en-CA"/>
          </w:rPr>
          <w:t>https://www.unescwa.org/sites/www.unescwa.org/files/publications/files/disability-arab-region-2018-english_1.pdf</w:t>
        </w:r>
      </w:hyperlink>
      <w:r w:rsidRPr="00E84DDE">
        <w:rPr>
          <w:sz w:val="18"/>
          <w:szCs w:val="18"/>
          <w:lang w:val="en-CA"/>
        </w:rPr>
        <w:t xml:space="preserve"> (ESCWA 2018)</w:t>
      </w:r>
    </w:p>
  </w:footnote>
  <w:footnote w:id="3">
    <w:p w14:paraId="700285DE" w14:textId="77777777" w:rsidR="00504E71" w:rsidRPr="00E84DDE" w:rsidRDefault="00504E71" w:rsidP="00504E71">
      <w:pPr>
        <w:pStyle w:val="FootnoteText"/>
        <w:rPr>
          <w:sz w:val="18"/>
          <w:szCs w:val="18"/>
          <w:lang w:val="en-CA"/>
        </w:rPr>
      </w:pPr>
      <w:r w:rsidRPr="00E84DDE">
        <w:rPr>
          <w:rStyle w:val="FootnoteReference"/>
          <w:sz w:val="18"/>
          <w:szCs w:val="18"/>
        </w:rPr>
        <w:footnoteRef/>
      </w:r>
      <w:r w:rsidRPr="00E84DDE">
        <w:rPr>
          <w:sz w:val="18"/>
          <w:szCs w:val="18"/>
        </w:rPr>
        <w:t xml:space="preserve"> </w:t>
      </w:r>
      <w:r w:rsidRPr="00E84DDE">
        <w:rPr>
          <w:sz w:val="18"/>
          <w:szCs w:val="18"/>
          <w:lang w:val="en-CA"/>
        </w:rPr>
        <w:t>ESCWA 2018, p. 14</w:t>
      </w:r>
    </w:p>
  </w:footnote>
  <w:footnote w:id="4">
    <w:p w14:paraId="2BD68179" w14:textId="77777777" w:rsidR="00504E71" w:rsidRPr="00E84DDE" w:rsidRDefault="00504E71" w:rsidP="00504E71">
      <w:pPr>
        <w:pStyle w:val="FootnoteText"/>
        <w:rPr>
          <w:sz w:val="18"/>
          <w:szCs w:val="18"/>
        </w:rPr>
      </w:pPr>
      <w:r w:rsidRPr="00E84DDE">
        <w:rPr>
          <w:rStyle w:val="FootnoteReference"/>
          <w:sz w:val="18"/>
          <w:szCs w:val="18"/>
        </w:rPr>
        <w:footnoteRef/>
      </w:r>
      <w:r w:rsidRPr="00E84DDE">
        <w:rPr>
          <w:sz w:val="18"/>
          <w:szCs w:val="18"/>
        </w:rPr>
        <w:t xml:space="preserve"> Committee on the Elimination of Discrimination against Women (CEDAW Committee), General</w:t>
      </w:r>
      <w:r>
        <w:rPr>
          <w:sz w:val="18"/>
          <w:szCs w:val="18"/>
        </w:rPr>
        <w:t xml:space="preserve"> </w:t>
      </w:r>
      <w:r w:rsidRPr="00E84DDE">
        <w:rPr>
          <w:sz w:val="18"/>
          <w:szCs w:val="18"/>
        </w:rPr>
        <w:t>Recommendation No. 33: Women’s Access to Justice, ¶ 4-5, 27, U.N. Doc. CEDAW/C/GC/33 (2015).</w:t>
      </w:r>
    </w:p>
  </w:footnote>
  <w:footnote w:id="5">
    <w:p w14:paraId="5F31C11E" w14:textId="77777777" w:rsidR="00504E71" w:rsidRPr="00E84DDE" w:rsidRDefault="00504E71" w:rsidP="00504E71">
      <w:pPr>
        <w:pStyle w:val="FootnoteText"/>
        <w:rPr>
          <w:sz w:val="18"/>
          <w:szCs w:val="18"/>
        </w:rPr>
      </w:pPr>
      <w:r w:rsidRPr="00E84DDE">
        <w:rPr>
          <w:sz w:val="18"/>
          <w:szCs w:val="18"/>
        </w:rPr>
        <w:footnoteRef/>
      </w:r>
      <w:r w:rsidRPr="00E84DDE">
        <w:rPr>
          <w:sz w:val="18"/>
          <w:szCs w:val="18"/>
        </w:rPr>
        <w:t xml:space="preserve"> Id., ¶ 18</w:t>
      </w:r>
    </w:p>
  </w:footnote>
  <w:footnote w:id="6">
    <w:p w14:paraId="12CA84A7" w14:textId="77777777" w:rsidR="00504E71" w:rsidRPr="00FD3B60" w:rsidRDefault="00504E71" w:rsidP="00504E71">
      <w:pPr>
        <w:pStyle w:val="FootnoteText"/>
        <w:rPr>
          <w:sz w:val="18"/>
          <w:lang w:val="en-CA"/>
        </w:rPr>
      </w:pPr>
      <w:r>
        <w:rPr>
          <w:rStyle w:val="FootnoteReference"/>
        </w:rPr>
        <w:footnoteRef/>
      </w:r>
      <w:r>
        <w:t xml:space="preserve"> </w:t>
      </w:r>
      <w:r w:rsidRPr="00B32941">
        <w:rPr>
          <w:sz w:val="18"/>
          <w:lang w:val="en-CA"/>
        </w:rPr>
        <w:t>International Covenant on Civil and Political Rights (ICCPR), Arts. 16, 26; Convention on the Elimination of All Forms of Discrimination against Women (CEDAW), Art. 15; Convention for the Elimination of Racial Discrimination (CERD), Art. 5; Convention on the Rights of Persons with Disabilities (CRPD), Arts. 12, 13; African Charter on Human and People’s Rights (Banjul Charter), Art. 3; Protocol to the African Charter on Human and Peoples’ Rights on the Rights of Women in Africa (Maputo Protocol), Art. 8; Protocol to the African Charter on Human and Peoples’ Rights on the Rights of Persons with Disabilities in Africa (African Disability Protocol), Art. 7; American Convention on Human Rights (A</w:t>
      </w:r>
      <w:r>
        <w:rPr>
          <w:sz w:val="18"/>
          <w:lang w:val="en-CA"/>
        </w:rPr>
        <w:t xml:space="preserve">merican Convention), Art. 3. </w:t>
      </w:r>
      <w:r w:rsidRPr="00B32941">
        <w:rPr>
          <w:sz w:val="18"/>
          <w:lang w:val="en-CA"/>
        </w:rPr>
        <w:t xml:space="preserve"> </w:t>
      </w:r>
    </w:p>
  </w:footnote>
  <w:footnote w:id="7">
    <w:p w14:paraId="7E4FAB98" w14:textId="77777777" w:rsidR="00504E71" w:rsidRPr="00FD3B60" w:rsidRDefault="00504E71" w:rsidP="00504E71">
      <w:pPr>
        <w:pStyle w:val="FootnoteText"/>
        <w:rPr>
          <w:sz w:val="18"/>
          <w:lang w:val="en-CA"/>
        </w:rPr>
      </w:pPr>
      <w:r>
        <w:rPr>
          <w:rStyle w:val="FootnoteReference"/>
        </w:rPr>
        <w:footnoteRef/>
      </w:r>
      <w:r>
        <w:t xml:space="preserve"> </w:t>
      </w:r>
      <w:r w:rsidRPr="00B32941">
        <w:rPr>
          <w:sz w:val="18"/>
          <w:lang w:val="en-CA"/>
        </w:rPr>
        <w:t>ICCPR, Art. 2; International Covenant on Economic, Social and Cultural Rights (ICESCR), Art. 2; CRPD, Arts. 5-7; CEDAW, Arts. 1, 3; Convention on the Rights of the Child (CRC), Arts. 2, 5; Banjul Charter, Arts. 2, 3; Maputo Protocol, Art. 8; African Disability Protocol, Arts. 5, 6; American Convention, Arts. 1, 24; Additional Protocol to the American Convention on Human Rights in the Area of Economic, Social and Cultural Rights (Protocol of San Salvador), Art. 3; European Convention on Human Rights (ECHR), Art. 14; Council of Europe Convention on Preventing and Combating Violence against Women and Domestic Violence (I</w:t>
      </w:r>
      <w:r>
        <w:rPr>
          <w:sz w:val="18"/>
          <w:lang w:val="en-CA"/>
        </w:rPr>
        <w:t xml:space="preserve">stanbul Convention), Art. 4. </w:t>
      </w:r>
    </w:p>
  </w:footnote>
  <w:footnote w:id="8">
    <w:p w14:paraId="5176D782" w14:textId="77777777" w:rsidR="00504E71" w:rsidRPr="00FD3B60" w:rsidRDefault="00504E71" w:rsidP="00504E71">
      <w:pPr>
        <w:pStyle w:val="FootnoteText"/>
        <w:rPr>
          <w:sz w:val="18"/>
          <w:lang w:val="en-CA"/>
        </w:rPr>
      </w:pPr>
      <w:r>
        <w:rPr>
          <w:rStyle w:val="FootnoteReference"/>
        </w:rPr>
        <w:footnoteRef/>
      </w:r>
      <w:r>
        <w:t xml:space="preserve"> </w:t>
      </w:r>
      <w:r w:rsidRPr="00B32941">
        <w:rPr>
          <w:sz w:val="18"/>
          <w:lang w:val="en-CA"/>
        </w:rPr>
        <w:t>CRPD, Art. 9; Maputo Protocol, Art. 14; Istanbul Convention, Art. 20; African D</w:t>
      </w:r>
      <w:r>
        <w:rPr>
          <w:sz w:val="18"/>
          <w:lang w:val="en-CA"/>
        </w:rPr>
        <w:t xml:space="preserve">isability Protocol, Art. 15. </w:t>
      </w:r>
    </w:p>
  </w:footnote>
  <w:footnote w:id="9">
    <w:p w14:paraId="573688A4" w14:textId="77777777" w:rsidR="00504E71" w:rsidRPr="00FD3B60" w:rsidRDefault="00504E71" w:rsidP="00504E71">
      <w:pPr>
        <w:pStyle w:val="FootnoteText"/>
        <w:rPr>
          <w:sz w:val="18"/>
          <w:lang w:val="en-CA"/>
        </w:rPr>
      </w:pPr>
      <w:r>
        <w:rPr>
          <w:rStyle w:val="FootnoteReference"/>
        </w:rPr>
        <w:footnoteRef/>
      </w:r>
      <w:r>
        <w:t xml:space="preserve"> </w:t>
      </w:r>
      <w:r w:rsidRPr="00B32941">
        <w:rPr>
          <w:sz w:val="18"/>
          <w:lang w:val="en-CA"/>
        </w:rPr>
        <w:t xml:space="preserve">ICCPR, Art. 2; American Convention, Art. 8; ECHR, Arts. 13, 41. </w:t>
      </w:r>
    </w:p>
  </w:footnote>
  <w:footnote w:id="10">
    <w:p w14:paraId="6224E36D" w14:textId="77777777" w:rsidR="00504E71" w:rsidRPr="00FD3B60" w:rsidRDefault="00504E71" w:rsidP="00504E71">
      <w:pPr>
        <w:pStyle w:val="FootnoteText"/>
      </w:pPr>
      <w:r>
        <w:rPr>
          <w:rStyle w:val="FootnoteReference"/>
        </w:rPr>
        <w:footnoteRef/>
      </w:r>
      <w:r>
        <w:t xml:space="preserve"> </w:t>
      </w:r>
      <w:r w:rsidRPr="00B32941">
        <w:rPr>
          <w:sz w:val="18"/>
          <w:lang w:val="en-CA"/>
        </w:rPr>
        <w:t>ICCPR, Art. 14; ECHR, Art. 6; Banjul Charter, Art. 7; American Convention, Art. 8.</w:t>
      </w:r>
    </w:p>
  </w:footnote>
  <w:footnote w:id="11">
    <w:p w14:paraId="3C35C35C" w14:textId="77777777" w:rsidR="00504E71" w:rsidRPr="00FD3B60" w:rsidRDefault="00504E71" w:rsidP="00504E71">
      <w:pPr>
        <w:pStyle w:val="FootnoteText"/>
      </w:pPr>
      <w:r>
        <w:rPr>
          <w:rStyle w:val="FootnoteReference"/>
        </w:rPr>
        <w:footnoteRef/>
      </w:r>
      <w:r>
        <w:t xml:space="preserve"> </w:t>
      </w:r>
      <w:r w:rsidRPr="00B32941">
        <w:rPr>
          <w:sz w:val="18"/>
          <w:lang w:val="en-CA"/>
        </w:rPr>
        <w:t>ICCPR, Art. 14; ECHR, Art. 6(c); Maputo Protocol, Art. 8; African Disability Protocol, Art. 13.</w:t>
      </w:r>
    </w:p>
  </w:footnote>
  <w:footnote w:id="12">
    <w:p w14:paraId="75947670" w14:textId="77777777" w:rsidR="00504E71" w:rsidRPr="00FD3B60" w:rsidRDefault="00504E71" w:rsidP="00504E71">
      <w:pPr>
        <w:pStyle w:val="FootnoteText"/>
      </w:pPr>
      <w:r>
        <w:rPr>
          <w:rStyle w:val="FootnoteReference"/>
        </w:rPr>
        <w:footnoteRef/>
      </w:r>
      <w:r>
        <w:t xml:space="preserve"> </w:t>
      </w:r>
      <w:r w:rsidRPr="00B32941">
        <w:rPr>
          <w:sz w:val="18"/>
          <w:lang w:val="en-CA"/>
        </w:rPr>
        <w:t>ICCPR, Art. 14 (2)(f); ECHR. Art. 6(e); CRPD, Art. 13; African Disability Protocol, Art. 13.</w:t>
      </w:r>
    </w:p>
  </w:footnote>
  <w:footnote w:id="13">
    <w:p w14:paraId="5B90949B" w14:textId="77777777" w:rsidR="00504E71" w:rsidRPr="008B2FF1" w:rsidRDefault="00504E71" w:rsidP="00504E71">
      <w:pPr>
        <w:pStyle w:val="FootnoteText"/>
        <w:rPr>
          <w:rFonts w:cstheme="minorHAnsi"/>
          <w:sz w:val="18"/>
          <w:szCs w:val="18"/>
        </w:rPr>
      </w:pPr>
      <w:r w:rsidRPr="008B2FF1">
        <w:rPr>
          <w:rStyle w:val="FootnoteReference"/>
          <w:rFonts w:cstheme="minorHAnsi"/>
        </w:rPr>
        <w:footnoteRef/>
      </w:r>
      <w:r w:rsidRPr="008B2FF1">
        <w:rPr>
          <w:rFonts w:cstheme="minorHAnsi"/>
          <w:sz w:val="18"/>
          <w:szCs w:val="18"/>
        </w:rPr>
        <w:t xml:space="preserve"> The exact mode for the administration of the survey will be determined during the development of the quantitative data collection tools (Component 4). </w:t>
      </w:r>
    </w:p>
  </w:footnote>
  <w:footnote w:id="14">
    <w:p w14:paraId="54A1EA21" w14:textId="77777777" w:rsidR="00504E71" w:rsidRPr="008B2FF1" w:rsidRDefault="00504E71" w:rsidP="00504E71">
      <w:pPr>
        <w:pStyle w:val="FootnoteText"/>
        <w:rPr>
          <w:rFonts w:cstheme="minorHAnsi"/>
          <w:sz w:val="18"/>
          <w:szCs w:val="18"/>
        </w:rPr>
      </w:pPr>
      <w:r w:rsidRPr="008B2FF1">
        <w:rPr>
          <w:rStyle w:val="FootnoteReference"/>
          <w:rFonts w:cstheme="minorHAnsi"/>
        </w:rPr>
        <w:footnoteRef/>
      </w:r>
      <w:r w:rsidRPr="008B2FF1">
        <w:rPr>
          <w:rFonts w:cstheme="minorHAnsi"/>
          <w:sz w:val="18"/>
          <w:szCs w:val="18"/>
        </w:rPr>
        <w:t xml:space="preserve"> The qualitative data collection will include specific considerations for the inclusion of voices from the LBTIQ+ community and include other relevant groups such as women who contested elections but were not elected.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45B4"/>
    <w:multiLevelType w:val="hybridMultilevel"/>
    <w:tmpl w:val="7DF0F22E"/>
    <w:lvl w:ilvl="0" w:tplc="04090003">
      <w:start w:val="1"/>
      <w:numFmt w:val="bullet"/>
      <w:lvlText w:val="o"/>
      <w:lvlJc w:val="left"/>
      <w:pPr>
        <w:ind w:left="1068" w:hanging="360"/>
      </w:pPr>
      <w:rPr>
        <w:rFonts w:ascii="Courier New" w:hAnsi="Courier New" w:cs="Courier New"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65154FC"/>
    <w:multiLevelType w:val="hybridMultilevel"/>
    <w:tmpl w:val="ABA435AA"/>
    <w:lvl w:ilvl="0" w:tplc="2DCC6AD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B25B9"/>
    <w:multiLevelType w:val="hybridMultilevel"/>
    <w:tmpl w:val="C7A47A30"/>
    <w:lvl w:ilvl="0" w:tplc="04090003">
      <w:start w:val="1"/>
      <w:numFmt w:val="bullet"/>
      <w:lvlText w:val="o"/>
      <w:lvlJc w:val="left"/>
      <w:pPr>
        <w:ind w:left="1068" w:hanging="360"/>
      </w:pPr>
      <w:rPr>
        <w:rFonts w:ascii="Courier New" w:hAnsi="Courier New" w:cs="Courier New"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7AF3F7C"/>
    <w:multiLevelType w:val="hybridMultilevel"/>
    <w:tmpl w:val="5446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32E25"/>
    <w:multiLevelType w:val="hybridMultilevel"/>
    <w:tmpl w:val="D722B330"/>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E24468"/>
    <w:multiLevelType w:val="hybridMultilevel"/>
    <w:tmpl w:val="0CA0C878"/>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595C37"/>
    <w:multiLevelType w:val="hybridMultilevel"/>
    <w:tmpl w:val="0700E442"/>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63965E9"/>
    <w:multiLevelType w:val="hybridMultilevel"/>
    <w:tmpl w:val="4A82C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68"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391531"/>
    <w:multiLevelType w:val="hybridMultilevel"/>
    <w:tmpl w:val="8070A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C5AA9"/>
    <w:multiLevelType w:val="hybridMultilevel"/>
    <w:tmpl w:val="4F76DC1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E3D26"/>
    <w:multiLevelType w:val="hybridMultilevel"/>
    <w:tmpl w:val="4F5CECB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20730D"/>
    <w:multiLevelType w:val="hybridMultilevel"/>
    <w:tmpl w:val="FB80E704"/>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C23D99"/>
    <w:multiLevelType w:val="hybridMultilevel"/>
    <w:tmpl w:val="B852CE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10"/>
  </w:num>
  <w:num w:numId="5">
    <w:abstractNumId w:val="0"/>
  </w:num>
  <w:num w:numId="6">
    <w:abstractNumId w:val="2"/>
  </w:num>
  <w:num w:numId="7">
    <w:abstractNumId w:val="4"/>
  </w:num>
  <w:num w:numId="8">
    <w:abstractNumId w:val="11"/>
  </w:num>
  <w:num w:numId="9">
    <w:abstractNumId w:val="7"/>
  </w:num>
  <w:num w:numId="10">
    <w:abstractNumId w:val="9"/>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71"/>
    <w:rsid w:val="004E1C47"/>
    <w:rsid w:val="00504E71"/>
    <w:rsid w:val="00B12D48"/>
    <w:rsid w:val="00B91E54"/>
    <w:rsid w:val="00D00529"/>
    <w:rsid w:val="00E356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7F0A"/>
  <w15:chartTrackingRefBased/>
  <w15:docId w15:val="{8442449C-5BC8-482E-B533-7BE973AC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E71"/>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E71"/>
    <w:pPr>
      <w:spacing w:after="0" w:line="240" w:lineRule="auto"/>
    </w:pPr>
    <w:rPr>
      <w:rFonts w:eastAsiaTheme="minorEastAsia"/>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04E71"/>
    <w:rPr>
      <w:color w:val="0000FF"/>
      <w:u w:val="single"/>
    </w:rPr>
  </w:style>
  <w:style w:type="paragraph" w:customStyle="1" w:styleId="HEADING">
    <w:name w:val="HEADING"/>
    <w:basedOn w:val="Normal"/>
    <w:link w:val="HEADINGChar"/>
    <w:qFormat/>
    <w:rsid w:val="00504E71"/>
    <w:pPr>
      <w:keepNext/>
      <w:keepLines/>
      <w:pBdr>
        <w:bottom w:val="single" w:sz="4" w:space="2" w:color="ED7D31"/>
      </w:pBdr>
      <w:spacing w:before="360" w:after="120"/>
      <w:jc w:val="center"/>
      <w:outlineLvl w:val="0"/>
    </w:pPr>
    <w:rPr>
      <w:rFonts w:ascii="Calibri" w:hAnsi="Calibri"/>
      <w:b/>
      <w:color w:val="262626"/>
      <w:sz w:val="36"/>
      <w:szCs w:val="40"/>
      <w:lang w:val="en-US"/>
    </w:rPr>
  </w:style>
  <w:style w:type="character" w:customStyle="1" w:styleId="HEADINGChar">
    <w:name w:val="HEADING Char"/>
    <w:basedOn w:val="DefaultParagraphFont"/>
    <w:link w:val="HEADING"/>
    <w:rsid w:val="00504E71"/>
    <w:rPr>
      <w:rFonts w:ascii="Calibri" w:eastAsia="Times New Roman" w:hAnsi="Calibri" w:cs="Times New Roman"/>
      <w:b/>
      <w:color w:val="262626"/>
      <w:sz w:val="36"/>
      <w:szCs w:val="40"/>
    </w:rPr>
  </w:style>
  <w:style w:type="paragraph" w:styleId="ListParagraph">
    <w:name w:val="List Paragraph"/>
    <w:basedOn w:val="Normal"/>
    <w:link w:val="ListParagraphChar"/>
    <w:uiPriority w:val="34"/>
    <w:qFormat/>
    <w:rsid w:val="00504E71"/>
    <w:pPr>
      <w:ind w:left="720"/>
    </w:pPr>
    <w:rPr>
      <w:sz w:val="20"/>
      <w:szCs w:val="20"/>
      <w:lang w:val="en-US"/>
    </w:rPr>
  </w:style>
  <w:style w:type="character" w:customStyle="1" w:styleId="ListParagraphChar">
    <w:name w:val="List Paragraph Char"/>
    <w:link w:val="ListParagraph"/>
    <w:uiPriority w:val="34"/>
    <w:locked/>
    <w:rsid w:val="00504E71"/>
    <w:rPr>
      <w:rFonts w:ascii="Times New Roman" w:eastAsia="Times New Roman" w:hAnsi="Times New Roman" w:cs="Times New Roman"/>
      <w:sz w:val="20"/>
      <w:szCs w:val="20"/>
    </w:rPr>
  </w:style>
  <w:style w:type="paragraph" w:styleId="NormalWeb">
    <w:name w:val="Normal (Web)"/>
    <w:basedOn w:val="Normal"/>
    <w:uiPriority w:val="99"/>
    <w:unhideWhenUsed/>
    <w:rsid w:val="00504E71"/>
    <w:pPr>
      <w:spacing w:before="100" w:beforeAutospacing="1" w:after="100" w:afterAutospacing="1"/>
    </w:pPr>
    <w:rPr>
      <w:lang w:val="en-US"/>
    </w:rPr>
  </w:style>
  <w:style w:type="paragraph" w:styleId="FootnoteText">
    <w:name w:val="footnote text"/>
    <w:basedOn w:val="Normal"/>
    <w:link w:val="FootnoteTextChar"/>
    <w:unhideWhenUsed/>
    <w:rsid w:val="00504E71"/>
    <w:rPr>
      <w:sz w:val="20"/>
      <w:szCs w:val="20"/>
      <w:lang w:val="en-US"/>
    </w:rPr>
  </w:style>
  <w:style w:type="character" w:customStyle="1" w:styleId="FootnoteTextChar">
    <w:name w:val="Footnote Text Char"/>
    <w:basedOn w:val="DefaultParagraphFont"/>
    <w:link w:val="FootnoteText"/>
    <w:rsid w:val="00504E71"/>
    <w:rPr>
      <w:rFonts w:ascii="Times New Roman" w:eastAsia="Times New Roman" w:hAnsi="Times New Roman" w:cs="Times New Roman"/>
      <w:sz w:val="20"/>
      <w:szCs w:val="20"/>
    </w:rPr>
  </w:style>
  <w:style w:type="character" w:styleId="FootnoteReference">
    <w:name w:val="footnote reference"/>
    <w:aliases w:val="ftref,fr,16 Point,Superscript 6 Point,(NECG) Footnote Reference,Ref,de nota al pie,BVI fnr,Footnote Reference Number,Superscript 10 Point,Footnote symbol,Footnote text, BVI fnr, BVI fnr Car Car,BVI fnr Car,FO,BVI fnr Car Car,Char Char"/>
    <w:qFormat/>
    <w:rsid w:val="00504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unescwa.org/sites/www.unescwa.org/files/publications/files/disability-arab-region-2018-english_1.pdf" TargetMode="External"/><Relationship Id="rId1" Type="http://schemas.openxmlformats.org/officeDocument/2006/relationships/hyperlink" Target="https://www.un.org/development/desa/disabilities/wp-content/uploads/sites/15/2019/10/Making-SDGs-count-for-women-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2802</Words>
  <Characters>15974</Characters>
  <Application>Microsoft Office Word</Application>
  <DocSecurity>0</DocSecurity>
  <Lines>133</Lines>
  <Paragraphs>37</Paragraphs>
  <ScaleCrop>false</ScaleCrop>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Nesma Ali</dc:creator>
  <cp:keywords/>
  <dc:description/>
  <cp:lastModifiedBy>Ahmed Hamed</cp:lastModifiedBy>
  <cp:revision>2</cp:revision>
  <dcterms:created xsi:type="dcterms:W3CDTF">2020-11-19T05:33:00Z</dcterms:created>
  <dcterms:modified xsi:type="dcterms:W3CDTF">2020-11-19T05:33:00Z</dcterms:modified>
</cp:coreProperties>
</file>