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D7A6A" w14:textId="77777777" w:rsidR="00BF7588" w:rsidRPr="00BF7588" w:rsidRDefault="00BF7588" w:rsidP="00BF7588">
      <w:pPr>
        <w:pStyle w:val="HEADING"/>
        <w:rPr>
          <w:rFonts w:asciiTheme="minorHAnsi" w:hAnsiTheme="minorHAnsi" w:cstheme="minorHAnsi"/>
          <w:szCs w:val="36"/>
          <w:lang w:val="en-GB"/>
        </w:rPr>
      </w:pPr>
      <w:r w:rsidRPr="00BF7588">
        <w:rPr>
          <w:rFonts w:asciiTheme="minorHAnsi" w:hAnsiTheme="minorHAnsi" w:cstheme="minorHAnsi"/>
          <w:szCs w:val="36"/>
          <w:lang w:val="en-GB"/>
        </w:rPr>
        <w:t>Terms of Reference</w:t>
      </w:r>
    </w:p>
    <w:p w14:paraId="260E1BC3" w14:textId="77777777" w:rsidR="00BF7588" w:rsidRPr="00BF7588" w:rsidRDefault="00BF7588" w:rsidP="00BF7588">
      <w:pPr>
        <w:spacing w:before="100" w:beforeAutospacing="1" w:after="100" w:afterAutospacing="1"/>
        <w:jc w:val="both"/>
        <w:rPr>
          <w:rFonts w:asciiTheme="minorHAnsi" w:hAnsiTheme="minorHAnsi" w:cstheme="minorHAnsi"/>
          <w:color w:val="FF0000"/>
          <w:sz w:val="22"/>
          <w:szCs w:val="22"/>
        </w:rPr>
      </w:pPr>
      <w:r w:rsidRPr="00BF7588">
        <w:rPr>
          <w:rFonts w:asciiTheme="minorHAnsi" w:hAnsiTheme="minorHAnsi" w:cstheme="minorHAnsi"/>
          <w:color w:val="FF0000"/>
          <w:sz w:val="22"/>
          <w:szCs w:val="22"/>
        </w:rPr>
        <w:t>STATEMENT OF NEED</w:t>
      </w:r>
    </w:p>
    <w:p w14:paraId="064BC6DC"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sz w:val="22"/>
          <w:szCs w:val="22"/>
        </w:rPr>
        <w:t>UN Women Regional Office for Arab States (ROAS) requires a vendor to conduct a study on the dimensions of cyberviolence against women in politics (VAWP) in six countries of the Arab States region.</w:t>
      </w:r>
    </w:p>
    <w:p w14:paraId="2418902F"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color w:val="FF0000"/>
          <w:sz w:val="22"/>
          <w:szCs w:val="22"/>
        </w:rPr>
        <w:t>Background information on the project</w:t>
      </w:r>
    </w:p>
    <w:p w14:paraId="5D601FA2" w14:textId="77777777" w:rsidR="00BF7588" w:rsidRPr="00BF7588" w:rsidRDefault="00BF7588" w:rsidP="00BF7588">
      <w:pPr>
        <w:spacing w:before="100" w:beforeAutospacing="1" w:after="100" w:afterAutospacing="1"/>
        <w:jc w:val="both"/>
        <w:rPr>
          <w:rFonts w:asciiTheme="minorHAnsi" w:hAnsiTheme="minorHAnsi" w:cstheme="minorHAnsi"/>
          <w:i/>
          <w:iCs/>
          <w:sz w:val="22"/>
          <w:szCs w:val="22"/>
          <w:lang w:val="en-US"/>
        </w:rPr>
      </w:pPr>
      <w:r w:rsidRPr="00BF7588">
        <w:rPr>
          <w:rFonts w:asciiTheme="minorHAnsi" w:hAnsiTheme="minorHAnsi" w:cstheme="minorHAnsi"/>
          <w:sz w:val="22"/>
          <w:szCs w:val="22"/>
          <w:lang w:val="en-US"/>
        </w:rPr>
        <w:t xml:space="preserve">The Special Rapporteur on Violence Against Women, its causes and consequences, </w:t>
      </w:r>
      <w:proofErr w:type="spellStart"/>
      <w:r w:rsidRPr="00BF7588">
        <w:rPr>
          <w:rFonts w:asciiTheme="minorHAnsi" w:hAnsiTheme="minorHAnsi" w:cstheme="minorHAnsi"/>
          <w:sz w:val="22"/>
          <w:szCs w:val="22"/>
          <w:lang w:val="en-US"/>
        </w:rPr>
        <w:t>Dubravka</w:t>
      </w:r>
      <w:proofErr w:type="spellEnd"/>
      <w:r w:rsidRPr="00BF7588">
        <w:rPr>
          <w:rFonts w:asciiTheme="minorHAnsi" w:hAnsiTheme="minorHAnsi" w:cstheme="minorHAnsi"/>
          <w:sz w:val="22"/>
          <w:szCs w:val="22"/>
          <w:lang w:val="en-US"/>
        </w:rPr>
        <w:t xml:space="preserve"> </w:t>
      </w:r>
      <w:proofErr w:type="spellStart"/>
      <w:r w:rsidRPr="00BF7588">
        <w:rPr>
          <w:rFonts w:asciiTheme="minorHAnsi" w:hAnsiTheme="minorHAnsi" w:cstheme="minorHAnsi"/>
          <w:sz w:val="22"/>
          <w:szCs w:val="22"/>
          <w:lang w:val="en-US"/>
        </w:rPr>
        <w:t>Šimonović</w:t>
      </w:r>
      <w:proofErr w:type="spellEnd"/>
      <w:r w:rsidRPr="00BF7588">
        <w:rPr>
          <w:rFonts w:asciiTheme="minorHAnsi" w:hAnsiTheme="minorHAnsi" w:cstheme="minorHAnsi"/>
          <w:sz w:val="22"/>
          <w:szCs w:val="22"/>
          <w:lang w:val="en-US"/>
        </w:rPr>
        <w:t xml:space="preserve"> reported that “</w:t>
      </w:r>
      <w:r w:rsidRPr="00BF7588">
        <w:rPr>
          <w:rFonts w:asciiTheme="minorHAnsi" w:hAnsiTheme="minorHAnsi" w:cstheme="minorHAnsi"/>
          <w:i/>
          <w:iCs/>
          <w:sz w:val="22"/>
          <w:szCs w:val="22"/>
          <w:lang w:val="en-US"/>
        </w:rPr>
        <w:t>women in politics are regularly victims of cyber violence and violence facilitated by information and communications technology (ICT). They receive cyber threats, generally of a misogynistic nature and often sexualized. Ultimately, cyber violence against women in politics is a direct attack on the full participation by women in political and public life and their enjoyment of their human rights. The extent to which such cyber violence is used by State and non-State actors to spread disinformation aimed at discouraging women from participating in politics, swaying popular support away from politically-active women and influencing how men and women view particular issues has yet to be fully understood.”</w:t>
      </w:r>
      <w:r w:rsidRPr="00BF7588">
        <w:rPr>
          <w:rFonts w:asciiTheme="minorHAnsi" w:hAnsiTheme="minorHAnsi" w:cstheme="minorHAnsi"/>
          <w:sz w:val="22"/>
          <w:szCs w:val="22"/>
          <w:vertAlign w:val="superscript"/>
          <w:lang w:val="en-US"/>
        </w:rPr>
        <w:footnoteReference w:id="1"/>
      </w:r>
    </w:p>
    <w:p w14:paraId="4BAA6B68"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sz w:val="22"/>
          <w:szCs w:val="22"/>
        </w:rPr>
        <w:t>UN Women’s definition of Violence Against Women in Politics (VAWP) is:</w:t>
      </w:r>
    </w:p>
    <w:p w14:paraId="63E761A6"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b/>
          <w:bCs/>
          <w:sz w:val="22"/>
          <w:szCs w:val="22"/>
          <w:lang w:val="en-US"/>
        </w:rPr>
        <w:t xml:space="preserve">“Violence against women in political life is any act </w:t>
      </w:r>
      <w:r w:rsidRPr="00BF7588">
        <w:rPr>
          <w:rFonts w:asciiTheme="minorHAnsi" w:hAnsiTheme="minorHAnsi" w:cstheme="minorHAnsi"/>
          <w:sz w:val="22"/>
          <w:szCs w:val="22"/>
          <w:lang w:val="en-US"/>
        </w:rPr>
        <w:t xml:space="preserve">of, or threat of, gender-based violence, resulting in physical, sexual, psychological harm or suffering to women, </w:t>
      </w:r>
      <w:r w:rsidRPr="00BF7588">
        <w:rPr>
          <w:rFonts w:asciiTheme="minorHAnsi" w:hAnsiTheme="minorHAnsi" w:cstheme="minorHAnsi"/>
          <w:b/>
          <w:bCs/>
          <w:sz w:val="22"/>
          <w:szCs w:val="22"/>
          <w:lang w:val="en-US"/>
        </w:rPr>
        <w:t xml:space="preserve">that </w:t>
      </w:r>
      <w:r w:rsidRPr="00BF7588">
        <w:rPr>
          <w:rFonts w:asciiTheme="minorHAnsi" w:hAnsiTheme="minorHAnsi" w:cstheme="minorHAnsi"/>
          <w:b/>
          <w:bCs/>
          <w:sz w:val="22"/>
          <w:szCs w:val="22"/>
          <w:u w:val="single"/>
          <w:lang w:val="en-US"/>
        </w:rPr>
        <w:t>prevents them from exercising and realizing their political rights</w:t>
      </w:r>
      <w:r w:rsidRPr="00BF7588">
        <w:rPr>
          <w:rFonts w:asciiTheme="minorHAnsi" w:hAnsiTheme="minorHAnsi" w:cstheme="minorHAnsi"/>
          <w:sz w:val="22"/>
          <w:szCs w:val="22"/>
          <w:lang w:val="en-US"/>
        </w:rPr>
        <w:t>, whether in public or private spaces, including the right to vote and hold public office, to vote in secret and to freely campaign, to associate and assemble, and to enjoy freedom of opinion and expression. Such violence can be perpetrated by a family member, community member and or by the State...”</w:t>
      </w:r>
      <w:r w:rsidRPr="00BF7588">
        <w:rPr>
          <w:rFonts w:asciiTheme="minorHAnsi" w:hAnsiTheme="minorHAnsi" w:cstheme="minorHAnsi"/>
          <w:sz w:val="22"/>
          <w:szCs w:val="22"/>
          <w:vertAlign w:val="superscript"/>
          <w:lang w:val="en-US"/>
        </w:rPr>
        <w:footnoteReference w:id="2"/>
      </w:r>
    </w:p>
    <w:p w14:paraId="3E9A1A96"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sz w:val="22"/>
          <w:szCs w:val="22"/>
        </w:rPr>
        <w:t xml:space="preserve">VAWP is a global phenomenon that falls between the gap of gender-based violence and political violence. Challenges women survivors of gender-based violence experience </w:t>
      </w:r>
      <w:proofErr w:type="gramStart"/>
      <w:r w:rsidRPr="00BF7588">
        <w:rPr>
          <w:rFonts w:asciiTheme="minorHAnsi" w:hAnsiTheme="minorHAnsi" w:cstheme="minorHAnsi"/>
          <w:sz w:val="22"/>
          <w:szCs w:val="22"/>
        </w:rPr>
        <w:t>are</w:t>
      </w:r>
      <w:proofErr w:type="gramEnd"/>
      <w:r w:rsidRPr="00BF7588">
        <w:rPr>
          <w:rFonts w:asciiTheme="minorHAnsi" w:hAnsiTheme="minorHAnsi" w:cstheme="minorHAnsi"/>
          <w:sz w:val="22"/>
          <w:szCs w:val="22"/>
        </w:rPr>
        <w:t xml:space="preserve"> further exacerbated in a political environment, for example, evidence confirms high levels of underreporting of attacks because of social stigma and discrimination. In an election environment, women face additional hurdles to report. This in turn has a direct impact on the availability of administrative data particularly regarding VAWP data.</w:t>
      </w:r>
    </w:p>
    <w:p w14:paraId="38FABAF1"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sz w:val="22"/>
          <w:szCs w:val="22"/>
        </w:rPr>
        <w:t>Types of VAWP range from psychological, sexual, and physical, and, more recently, cyber acts of violence. Assassinations, physical violence, including rape and sexual harassment, sexist remarks, verbal abuse, and threats of reprisal are used as tools to intimidate, humiliate and, worse, put an end to a woman’s political career.</w:t>
      </w:r>
    </w:p>
    <w:p w14:paraId="05E29036"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sz w:val="22"/>
          <w:szCs w:val="22"/>
          <w:lang w:val="en-US"/>
        </w:rPr>
        <w:t xml:space="preserve">This evidence is consistent with earlier studies on VAWP across the globe, with regards to forms of violence experienced, context/location of where the violence takes place, reporting (or lack of) of violent </w:t>
      </w:r>
      <w:r w:rsidRPr="00BF7588">
        <w:rPr>
          <w:rFonts w:asciiTheme="minorHAnsi" w:hAnsiTheme="minorHAnsi" w:cstheme="minorHAnsi"/>
          <w:sz w:val="22"/>
          <w:szCs w:val="22"/>
          <w:lang w:val="en-US"/>
        </w:rPr>
        <w:lastRenderedPageBreak/>
        <w:t>acts, and consequences of VAWP, as well as the critical need to further strengthen the evidence base on VAWP.</w:t>
      </w:r>
    </w:p>
    <w:p w14:paraId="5FC3273B"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 xml:space="preserve">The growing reach of the Internet, the rapid spread of mobile information and communications technologies (ICTs) and the wide diffusion of social media have presented new opportunities and enabled various efforts to address VAWG. However, they are also being used as tools to inflict harm on women and girls and to perpetrate VAWG. Cyber and ICT facilitated -VAWG is emerging as a global problem with serious implications for societies and economies around the world. Women in politics, including parliamentarians, are particularly targeted by ICT- facilitated violence. </w:t>
      </w:r>
    </w:p>
    <w:p w14:paraId="5CC4E470"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Cyber violence against women refers to any act of gender-based violence against women that is committed, assisted or aggravated in part or fully by the use of ICT, such as mobile phones and smartphones, the Internet, social media platforms or email, against a woman because she is a woman, or affects women disproportionately. While there is still a lack of comprehensive definition and data on cyber and ICT facilitated violence, research suggests that women are both disproportionately targeted and suffer serious consequences as a result</w:t>
      </w:r>
      <w:r w:rsidRPr="00BF7588">
        <w:rPr>
          <w:rFonts w:asciiTheme="minorHAnsi" w:hAnsiTheme="minorHAnsi" w:cstheme="minorHAnsi"/>
          <w:sz w:val="22"/>
          <w:szCs w:val="22"/>
          <w:vertAlign w:val="superscript"/>
          <w:lang w:val="en-US"/>
        </w:rPr>
        <w:footnoteReference w:id="3"/>
      </w:r>
      <w:r w:rsidRPr="00BF7588">
        <w:rPr>
          <w:rFonts w:asciiTheme="minorHAnsi" w:hAnsiTheme="minorHAnsi" w:cstheme="minorHAnsi"/>
          <w:sz w:val="22"/>
          <w:szCs w:val="22"/>
          <w:lang w:val="en-US"/>
        </w:rPr>
        <w:t xml:space="preserve">. When women and girls do have access to the Internet, they face cyber violence more often than men through a continuum of multiple, </w:t>
      </w:r>
      <w:proofErr w:type="gramStart"/>
      <w:r w:rsidRPr="00BF7588">
        <w:rPr>
          <w:rFonts w:asciiTheme="minorHAnsi" w:hAnsiTheme="minorHAnsi" w:cstheme="minorHAnsi"/>
          <w:sz w:val="22"/>
          <w:szCs w:val="22"/>
          <w:lang w:val="en-US"/>
        </w:rPr>
        <w:t>recurring</w:t>
      </w:r>
      <w:proofErr w:type="gramEnd"/>
      <w:r w:rsidRPr="00BF7588">
        <w:rPr>
          <w:rFonts w:asciiTheme="minorHAnsi" w:hAnsiTheme="minorHAnsi" w:cstheme="minorHAnsi"/>
          <w:sz w:val="22"/>
          <w:szCs w:val="22"/>
          <w:lang w:val="en-US"/>
        </w:rPr>
        <w:t xml:space="preserve"> and interrelated forms of gender-based violence. </w:t>
      </w:r>
    </w:p>
    <w:p w14:paraId="087C8D02"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 xml:space="preserve">In the Arab States, very limited data is available on the prevalence of cyber and ICT facilitated violence. A recent survey conducted in Morocco highlighted that </w:t>
      </w:r>
      <w:r w:rsidRPr="00BF7588">
        <w:rPr>
          <w:rFonts w:asciiTheme="minorHAnsi" w:hAnsiTheme="minorHAnsi" w:cstheme="minorHAnsi"/>
          <w:bCs/>
          <w:sz w:val="22"/>
          <w:szCs w:val="22"/>
          <w:lang w:val="en-US"/>
        </w:rPr>
        <w:t>14%</w:t>
      </w:r>
      <w:r w:rsidRPr="00BF7588">
        <w:rPr>
          <w:rFonts w:asciiTheme="minorHAnsi" w:hAnsiTheme="minorHAnsi" w:cstheme="minorHAnsi"/>
          <w:sz w:val="22"/>
          <w:szCs w:val="22"/>
          <w:lang w:val="en-US"/>
        </w:rPr>
        <w:t xml:space="preserve"> of women have been exposed to cyber violence</w:t>
      </w:r>
      <w:r w:rsidRPr="00BF7588">
        <w:rPr>
          <w:rFonts w:asciiTheme="minorHAnsi" w:hAnsiTheme="minorHAnsi" w:cstheme="minorHAnsi"/>
          <w:sz w:val="22"/>
          <w:szCs w:val="22"/>
          <w:vertAlign w:val="superscript"/>
          <w:lang w:val="en-US"/>
        </w:rPr>
        <w:footnoteReference w:id="4"/>
      </w:r>
      <w:r w:rsidRPr="00BF7588">
        <w:rPr>
          <w:rFonts w:asciiTheme="minorHAnsi" w:hAnsiTheme="minorHAnsi" w:cstheme="minorHAnsi"/>
          <w:sz w:val="22"/>
          <w:szCs w:val="22"/>
          <w:lang w:val="en-US"/>
        </w:rPr>
        <w:t>. Anecdotal data from Tunisia confirms similar trends. Moreover, some groups of women in the region, including human rights defenders, women in politics, journalists, bloggers find themselves targeted by ICT-facilitated violence. With the spread of violent extremist ideas in some countries of the region, and shrinking space for civil society and women’s rights, violence towards women leaders and activists has increased</w:t>
      </w:r>
      <w:r w:rsidRPr="00BF7588">
        <w:rPr>
          <w:rFonts w:asciiTheme="minorHAnsi" w:hAnsiTheme="minorHAnsi" w:cstheme="minorHAnsi"/>
          <w:sz w:val="22"/>
          <w:szCs w:val="22"/>
          <w:vertAlign w:val="superscript"/>
          <w:lang w:val="en-US"/>
        </w:rPr>
        <w:footnoteReference w:id="5"/>
      </w:r>
      <w:r w:rsidRPr="00BF7588">
        <w:rPr>
          <w:rFonts w:asciiTheme="minorHAnsi" w:hAnsiTheme="minorHAnsi" w:cstheme="minorHAnsi"/>
          <w:sz w:val="22"/>
          <w:szCs w:val="22"/>
          <w:lang w:val="en-US"/>
        </w:rPr>
        <w:t>: In Libya for instance, gender-specific threats and violent language directed at women cyber constitute a form of violence against women that seeks to silence women in cyber fora.</w:t>
      </w:r>
      <w:r w:rsidRPr="00BF7588">
        <w:rPr>
          <w:rFonts w:asciiTheme="minorHAnsi" w:hAnsiTheme="minorHAnsi" w:cstheme="minorHAnsi"/>
          <w:sz w:val="22"/>
          <w:szCs w:val="22"/>
          <w:vertAlign w:val="superscript"/>
          <w:lang w:val="en-US"/>
        </w:rPr>
        <w:footnoteReference w:id="6"/>
      </w:r>
    </w:p>
    <w:p w14:paraId="2D3A43EB"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International and national laws and trans-national collaborative alliances are slowly evolving to address common global concerns of VAWP. There is however a consensus around the lack of comprehensive global definition and data on cyber and ICT-facilitated violence.</w:t>
      </w:r>
      <w:r w:rsidRPr="00BF7588">
        <w:rPr>
          <w:rFonts w:asciiTheme="minorHAnsi" w:hAnsiTheme="minorHAnsi" w:cstheme="minorHAnsi"/>
          <w:sz w:val="22"/>
          <w:szCs w:val="22"/>
          <w:vertAlign w:val="superscript"/>
          <w:lang w:val="en-US"/>
        </w:rPr>
        <w:footnoteReference w:id="7"/>
      </w:r>
    </w:p>
    <w:p w14:paraId="2F4C5F12" w14:textId="77777777" w:rsidR="00BF7588" w:rsidRPr="00BF7588" w:rsidRDefault="00BF7588" w:rsidP="00BF7588">
      <w:pPr>
        <w:spacing w:before="100" w:beforeAutospacing="1" w:after="100" w:afterAutospacing="1"/>
        <w:jc w:val="both"/>
        <w:rPr>
          <w:rFonts w:asciiTheme="minorHAnsi" w:hAnsiTheme="minorHAnsi" w:cstheme="minorHAnsi"/>
          <w:color w:val="FF0000"/>
          <w:sz w:val="22"/>
          <w:szCs w:val="22"/>
        </w:rPr>
      </w:pPr>
      <w:r w:rsidRPr="00BF7588">
        <w:rPr>
          <w:rFonts w:asciiTheme="minorHAnsi" w:hAnsiTheme="minorHAnsi" w:cstheme="minorHAnsi"/>
          <w:color w:val="FF0000"/>
          <w:sz w:val="22"/>
          <w:szCs w:val="22"/>
        </w:rPr>
        <w:t>Objectives of the assignment</w:t>
      </w:r>
    </w:p>
    <w:p w14:paraId="1FE80112"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 xml:space="preserve">In this context, the UN Women ROAS seeks to support a regional study on VAWP. The study will document experiences of women in politics, with a particular focus on assessing obstacles to women’s political participation, including the experience of violence, magnitude, forms of violence, risk and protective </w:t>
      </w:r>
      <w:r w:rsidRPr="00BF7588">
        <w:rPr>
          <w:rFonts w:asciiTheme="minorHAnsi" w:hAnsiTheme="minorHAnsi" w:cstheme="minorHAnsi"/>
          <w:sz w:val="22"/>
          <w:szCs w:val="22"/>
          <w:lang w:val="en-US"/>
        </w:rPr>
        <w:lastRenderedPageBreak/>
        <w:t xml:space="preserve">factors, help-seeking behavior, and consequences it may have on women’s health, well-being as well as on their political participation and leadership. In view of the increasing use of social media in the region to frustrate women’s political engagement, the study will also have a particular emphasis on this form of violence.  This information will be complemented by an assessment of the national and sub-national legislative and policy framework on women’s political participation and VAWP, enabling the identification of entry points for strengthening the monitoring, normative and institutional framework on VAWP. </w:t>
      </w:r>
    </w:p>
    <w:p w14:paraId="227DC69D"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 xml:space="preserve">While ‘women in politics’ is a broader term for women who directly or indirectly participate in different forms of political activity, this study is focused on women elected for public office at </w:t>
      </w:r>
      <w:proofErr w:type="gramStart"/>
      <w:r w:rsidRPr="00BF7588">
        <w:rPr>
          <w:rFonts w:asciiTheme="minorHAnsi" w:hAnsiTheme="minorHAnsi" w:cstheme="minorHAnsi"/>
          <w:sz w:val="22"/>
          <w:szCs w:val="22"/>
          <w:lang w:val="en-US"/>
        </w:rPr>
        <w:t>the both</w:t>
      </w:r>
      <w:proofErr w:type="gramEnd"/>
      <w:r w:rsidRPr="00BF7588">
        <w:rPr>
          <w:rFonts w:asciiTheme="minorHAnsi" w:hAnsiTheme="minorHAnsi" w:cstheme="minorHAnsi"/>
          <w:sz w:val="22"/>
          <w:szCs w:val="22"/>
          <w:lang w:val="en-US"/>
        </w:rPr>
        <w:t xml:space="preserve"> national and local levels. In some countries however, where the representation of women elected for public office is very low (e.g., Lebanon), it may be considered to broaden the scope of the study to candidates and/or women appointed to senior political positions. </w:t>
      </w:r>
    </w:p>
    <w:p w14:paraId="4E393BEB"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The study will be guided by existing definitions of violence against women (VAW) and VAWP and a series of internationally recommended principles in data collection on VAW.</w:t>
      </w:r>
    </w:p>
    <w:p w14:paraId="04BC79C5"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VAWP can take many forms, from misogynistic and sexist verbal attacks, psychological to the most commonplace acts of harassment and sexual harassment, and it is also perpetrated online.</w:t>
      </w:r>
      <w:r w:rsidRPr="00BF7588">
        <w:rPr>
          <w:rFonts w:asciiTheme="minorHAnsi" w:hAnsiTheme="minorHAnsi" w:cstheme="minorHAnsi"/>
          <w:sz w:val="22"/>
          <w:szCs w:val="22"/>
          <w:vertAlign w:val="superscript"/>
          <w:lang w:val="en-US"/>
        </w:rPr>
        <w:t xml:space="preserve"> </w:t>
      </w:r>
      <w:r w:rsidRPr="00BF7588">
        <w:rPr>
          <w:rFonts w:asciiTheme="minorHAnsi" w:hAnsiTheme="minorHAnsi" w:cstheme="minorHAnsi"/>
          <w:sz w:val="22"/>
          <w:szCs w:val="22"/>
          <w:vertAlign w:val="superscript"/>
          <w:lang w:val="en-US"/>
        </w:rPr>
        <w:footnoteReference w:id="8"/>
      </w:r>
      <w:r w:rsidRPr="00BF7588">
        <w:rPr>
          <w:rFonts w:asciiTheme="minorHAnsi" w:hAnsiTheme="minorHAnsi" w:cstheme="minorHAnsi"/>
          <w:sz w:val="22"/>
          <w:szCs w:val="22"/>
          <w:lang w:val="en-US"/>
        </w:rPr>
        <w:t xml:space="preserve"> </w:t>
      </w:r>
    </w:p>
    <w:p w14:paraId="4D983469"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The data collection methods used by the study will be quantitative sample surveys and qualitative interviews and focus groups. In most cases, VAWP goes underreported to formal institutions due to the culture of silence, stigma and impunity associated with gender-based violence.</w:t>
      </w:r>
      <w:r w:rsidRPr="00BF7588">
        <w:rPr>
          <w:rFonts w:asciiTheme="minorHAnsi" w:hAnsiTheme="minorHAnsi" w:cstheme="minorHAnsi"/>
          <w:sz w:val="22"/>
          <w:szCs w:val="22"/>
          <w:vertAlign w:val="superscript"/>
          <w:lang w:val="en-US"/>
        </w:rPr>
        <w:footnoteReference w:id="9"/>
      </w:r>
      <w:r w:rsidRPr="00BF7588">
        <w:rPr>
          <w:rFonts w:asciiTheme="minorHAnsi" w:hAnsiTheme="minorHAnsi" w:cstheme="minorHAnsi"/>
          <w:sz w:val="22"/>
          <w:szCs w:val="22"/>
          <w:lang w:val="en-US"/>
        </w:rPr>
        <w:t xml:space="preserve"> As a result, administrative data generated by these institutions severely underestimate the magnitude of VAWP. However, experience in data collection </w:t>
      </w:r>
      <w:proofErr w:type="gramStart"/>
      <w:r w:rsidRPr="00BF7588">
        <w:rPr>
          <w:rFonts w:asciiTheme="minorHAnsi" w:hAnsiTheme="minorHAnsi" w:cstheme="minorHAnsi"/>
          <w:sz w:val="22"/>
          <w:szCs w:val="22"/>
          <w:lang w:val="en-US"/>
        </w:rPr>
        <w:t>in the area of</w:t>
      </w:r>
      <w:proofErr w:type="gramEnd"/>
      <w:r w:rsidRPr="00BF7588">
        <w:rPr>
          <w:rFonts w:asciiTheme="minorHAnsi" w:hAnsiTheme="minorHAnsi" w:cstheme="minorHAnsi"/>
          <w:sz w:val="22"/>
          <w:szCs w:val="22"/>
          <w:lang w:val="en-US"/>
        </w:rPr>
        <w:t xml:space="preserve"> VAW is showing that women are more likely to disclose such sensitive information during interviews, particularly when privacy, confidentiality and other ethical and safety considerations are addressed.</w:t>
      </w:r>
      <w:r w:rsidRPr="00BF7588">
        <w:rPr>
          <w:rFonts w:asciiTheme="minorHAnsi" w:hAnsiTheme="minorHAnsi" w:cstheme="minorHAnsi"/>
          <w:sz w:val="22"/>
          <w:szCs w:val="22"/>
          <w:vertAlign w:val="superscript"/>
          <w:lang w:val="en-US"/>
        </w:rPr>
        <w:footnoteReference w:id="10"/>
      </w:r>
      <w:r w:rsidRPr="00BF7588">
        <w:rPr>
          <w:rFonts w:asciiTheme="minorHAnsi" w:hAnsiTheme="minorHAnsi" w:cstheme="minorHAnsi"/>
          <w:sz w:val="22"/>
          <w:szCs w:val="22"/>
          <w:lang w:val="en-US"/>
        </w:rPr>
        <w:t xml:space="preserve">   </w:t>
      </w:r>
    </w:p>
    <w:p w14:paraId="631F82AC"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 xml:space="preserve">It is anticipated that the study will generate evidence on most critical barriers to women’s political participation and leadership and further build on related regional work carried out by other entities, such as the </w:t>
      </w:r>
      <w:proofErr w:type="spellStart"/>
      <w:r w:rsidRPr="00BF7588">
        <w:rPr>
          <w:rFonts w:asciiTheme="minorHAnsi" w:hAnsiTheme="minorHAnsi" w:cstheme="minorHAnsi"/>
          <w:sz w:val="22"/>
          <w:szCs w:val="22"/>
          <w:lang w:val="en-US"/>
        </w:rPr>
        <w:t>Ra’edat</w:t>
      </w:r>
      <w:proofErr w:type="spellEnd"/>
      <w:r w:rsidRPr="00BF7588">
        <w:rPr>
          <w:rFonts w:asciiTheme="minorHAnsi" w:hAnsiTheme="minorHAnsi" w:cstheme="minorHAnsi"/>
          <w:sz w:val="22"/>
          <w:szCs w:val="22"/>
          <w:lang w:val="en-US"/>
        </w:rPr>
        <w:t xml:space="preserve"> Facebook survey on VAWP in the Arab States (2020), to guide efforts of UN Women and its partners to promote and support women’s political empowerment and participation as office holders. Moreover, the technical lessons learned from conducting the study will inform future global quantitative and qualitative research on violence against women office holders. </w:t>
      </w:r>
    </w:p>
    <w:p w14:paraId="4AE4FB37"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color w:val="FF0000"/>
          <w:sz w:val="22"/>
          <w:szCs w:val="22"/>
        </w:rPr>
        <w:t xml:space="preserve">Scope of work </w:t>
      </w:r>
    </w:p>
    <w:p w14:paraId="4D865B0D" w14:textId="77777777"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sz w:val="22"/>
          <w:szCs w:val="22"/>
        </w:rPr>
        <w:t xml:space="preserve">Working in close consultation and collaboration with UN Women ROAS and a lead international consultant working on VAWP, the Company will perform the following tasks: </w:t>
      </w:r>
    </w:p>
    <w:p w14:paraId="365FD50B" w14:textId="77777777" w:rsidR="00BF7588" w:rsidRPr="00BF7588" w:rsidRDefault="00BF7588" w:rsidP="00BF7588">
      <w:pPr>
        <w:pStyle w:val="NormalWeb"/>
        <w:numPr>
          <w:ilvl w:val="0"/>
          <w:numId w:val="2"/>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Conduct background research and review of legislative and policy framework on VAWP </w:t>
      </w:r>
    </w:p>
    <w:p w14:paraId="157CE03D" w14:textId="77777777" w:rsidR="00BF7588" w:rsidRPr="00BF7588" w:rsidRDefault="00BF7588" w:rsidP="00BF7588">
      <w:pPr>
        <w:pStyle w:val="NormalWeb"/>
        <w:spacing w:after="120"/>
        <w:jc w:val="both"/>
        <w:rPr>
          <w:rFonts w:asciiTheme="minorHAnsi" w:hAnsiTheme="minorHAnsi" w:cstheme="minorHAnsi"/>
          <w:sz w:val="22"/>
          <w:szCs w:val="22"/>
        </w:rPr>
      </w:pPr>
      <w:r w:rsidRPr="00BF7588">
        <w:rPr>
          <w:rFonts w:asciiTheme="minorHAnsi" w:hAnsiTheme="minorHAnsi" w:cstheme="minorHAnsi"/>
          <w:sz w:val="22"/>
          <w:szCs w:val="22"/>
        </w:rPr>
        <w:lastRenderedPageBreak/>
        <w:t>This project component includes:</w:t>
      </w:r>
    </w:p>
    <w:p w14:paraId="72B34472" w14:textId="77777777" w:rsidR="00BF7588" w:rsidRPr="00BF7588" w:rsidRDefault="00BF7588" w:rsidP="00BF7588">
      <w:pPr>
        <w:pStyle w:val="NormalWeb"/>
        <w:numPr>
          <w:ilvl w:val="0"/>
          <w:numId w:val="3"/>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Mapping of existing quantitative and qualitative approaches in collecting data on VAWP, with a focus on cyber-VAWP, and cyber-VAW, in the Arab States region, including (a) gathering tools previously used in collecting information on VAWP (e.g. questionnaires, interview guides, focus group guides, manuals for data collection etc.) and cyber-VAW; and (b) identifying lessons learned that could be used in the qualitative and quantitative components of the current study, including on issues covered (magnitude measurement, risk and protective factors, perpetrators, location, consequences etc.), specific modalities of obtaining information (phrasing questions, sequencing of issues covered in interviews), and reported challenges in data collection or presentation of the results. </w:t>
      </w:r>
    </w:p>
    <w:p w14:paraId="6255C3C5" w14:textId="77777777" w:rsidR="00BF7588" w:rsidRPr="00BF7588" w:rsidRDefault="00BF7588" w:rsidP="00BF7588">
      <w:pPr>
        <w:pStyle w:val="NormalWeb"/>
        <w:numPr>
          <w:ilvl w:val="0"/>
          <w:numId w:val="3"/>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Review of the current legislative and policy framework, at regional and national levels, as it relates to women’s political participation and VAWP, with a focus on cyber-VAWP, and by comparison with standards set by international normative frameworks and regional best practices. Voluntary strategies and initiatives (such as codes of conduct adopted by political parties and rules on content applied by companies hosting cyber platforms) and key actors/stakeholders in monitoring, </w:t>
      </w:r>
      <w:proofErr w:type="gramStart"/>
      <w:r w:rsidRPr="00BF7588">
        <w:rPr>
          <w:rFonts w:asciiTheme="minorHAnsi" w:hAnsiTheme="minorHAnsi" w:cstheme="minorHAnsi"/>
          <w:sz w:val="22"/>
          <w:szCs w:val="22"/>
        </w:rPr>
        <w:t>preventing</w:t>
      </w:r>
      <w:proofErr w:type="gramEnd"/>
      <w:r w:rsidRPr="00BF7588">
        <w:rPr>
          <w:rFonts w:asciiTheme="minorHAnsi" w:hAnsiTheme="minorHAnsi" w:cstheme="minorHAnsi"/>
          <w:sz w:val="22"/>
          <w:szCs w:val="22"/>
        </w:rPr>
        <w:t xml:space="preserve"> and responding to VAWP in ROAS will also be identified. </w:t>
      </w:r>
    </w:p>
    <w:p w14:paraId="0F444E3C" w14:textId="77777777" w:rsidR="00BF7588" w:rsidRPr="00BF7588" w:rsidRDefault="00BF7588" w:rsidP="00BF7588">
      <w:pPr>
        <w:pStyle w:val="NormalWeb"/>
        <w:numPr>
          <w:ilvl w:val="0"/>
          <w:numId w:val="2"/>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Carry out preliminary qualitative research and verification of the scope of study</w:t>
      </w:r>
    </w:p>
    <w:p w14:paraId="4A7A1C54" w14:textId="77777777" w:rsidR="00BF7588" w:rsidRPr="00BF7588" w:rsidRDefault="00BF7588" w:rsidP="00BF7588">
      <w:pPr>
        <w:pStyle w:val="NormalWeb"/>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This component will provide contextual knowledge on VAWP, with a focus on cyber-VAWP, and inform the development of data collection tools and the scope of the study. Activities conducted under this component will be conducted in compliance with public health recommendations and guidance developed in the context of the COVID-19 pandemic. </w:t>
      </w:r>
    </w:p>
    <w:p w14:paraId="499D95C3" w14:textId="77777777" w:rsidR="00BF7588" w:rsidRPr="00BF7588" w:rsidRDefault="00BF7588" w:rsidP="00BF7588">
      <w:pPr>
        <w:pStyle w:val="NormalWeb"/>
        <w:numPr>
          <w:ilvl w:val="0"/>
          <w:numId w:val="4"/>
        </w:numPr>
        <w:spacing w:after="120"/>
        <w:jc w:val="both"/>
        <w:rPr>
          <w:rFonts w:asciiTheme="minorHAnsi" w:hAnsiTheme="minorHAnsi" w:cstheme="minorHAnsi"/>
          <w:sz w:val="22"/>
          <w:szCs w:val="22"/>
        </w:rPr>
      </w:pPr>
      <w:r w:rsidRPr="00BF7588">
        <w:rPr>
          <w:rFonts w:asciiTheme="minorHAnsi" w:hAnsiTheme="minorHAnsi" w:cstheme="minorHAnsi"/>
          <w:sz w:val="22"/>
          <w:szCs w:val="22"/>
        </w:rPr>
        <w:t>It consists of a series of consultations with stakeholders relevant to preventing, mitigating or responding to violence against women in politics in the Arab region and</w:t>
      </w:r>
      <w:r w:rsidRPr="00BF7588">
        <w:rPr>
          <w:rFonts w:asciiTheme="minorHAnsi" w:hAnsiTheme="minorHAnsi" w:cstheme="minorHAnsi"/>
          <w:bCs/>
          <w:sz w:val="22"/>
          <w:szCs w:val="22"/>
        </w:rPr>
        <w:t xml:space="preserve"> qualitative research – </w:t>
      </w:r>
      <w:r w:rsidRPr="00BF7588">
        <w:rPr>
          <w:rFonts w:asciiTheme="minorHAnsi" w:hAnsiTheme="minorHAnsi" w:cstheme="minorHAnsi"/>
          <w:sz w:val="22"/>
          <w:szCs w:val="22"/>
        </w:rPr>
        <w:t>focus groups and/or individual interviews – targeting a small sample of persons who experienced or witnessed violence as candidates or as members of political office.</w:t>
      </w:r>
    </w:p>
    <w:p w14:paraId="3D872C1D" w14:textId="77777777" w:rsidR="00BF7588" w:rsidRPr="00BF7588" w:rsidRDefault="00BF7588" w:rsidP="00BF7588">
      <w:pPr>
        <w:pStyle w:val="NormalWeb"/>
        <w:numPr>
          <w:ilvl w:val="0"/>
          <w:numId w:val="4"/>
        </w:numPr>
        <w:spacing w:after="120"/>
        <w:jc w:val="both"/>
        <w:rPr>
          <w:rFonts w:asciiTheme="minorHAnsi" w:hAnsiTheme="minorHAnsi" w:cstheme="minorHAnsi"/>
          <w:sz w:val="22"/>
          <w:szCs w:val="22"/>
        </w:rPr>
      </w:pPr>
      <w:r w:rsidRPr="00BF7588">
        <w:rPr>
          <w:rFonts w:asciiTheme="minorHAnsi" w:hAnsiTheme="minorHAnsi" w:cstheme="minorHAnsi"/>
          <w:sz w:val="22"/>
          <w:szCs w:val="22"/>
        </w:rPr>
        <w:t>Stakeholders may include, for example,</w:t>
      </w:r>
      <w:r w:rsidRPr="00BF7588">
        <w:rPr>
          <w:rFonts w:asciiTheme="minorHAnsi" w:hAnsiTheme="minorHAnsi" w:cstheme="minorHAnsi"/>
          <w:bCs/>
          <w:sz w:val="22"/>
          <w:szCs w:val="22"/>
        </w:rPr>
        <w:t xml:space="preserve"> EMBs, representatives of the Arab Network for Women in Elections,</w:t>
      </w:r>
      <w:r w:rsidRPr="00BF7588">
        <w:rPr>
          <w:rFonts w:asciiTheme="minorHAnsi" w:hAnsiTheme="minorHAnsi" w:cstheme="minorHAnsi"/>
          <w:sz w:val="22"/>
          <w:szCs w:val="22"/>
        </w:rPr>
        <w:t xml:space="preserve"> </w:t>
      </w:r>
      <w:r w:rsidRPr="00BF7588">
        <w:rPr>
          <w:rFonts w:asciiTheme="minorHAnsi" w:hAnsiTheme="minorHAnsi" w:cstheme="minorHAnsi"/>
          <w:bCs/>
          <w:sz w:val="22"/>
          <w:szCs w:val="22"/>
        </w:rPr>
        <w:t>police/security sector, political parties or the judiciary, social media platforms and media outlets, potential civil society actors engaged in addressing VAWP. Consultations with these actors, individually or in group, may</w:t>
      </w:r>
      <w:r w:rsidRPr="00BF7588">
        <w:rPr>
          <w:rFonts w:asciiTheme="minorHAnsi" w:hAnsiTheme="minorHAnsi" w:cstheme="minorHAnsi"/>
          <w:sz w:val="22"/>
          <w:szCs w:val="22"/>
        </w:rPr>
        <w:t xml:space="preserve"> provide information on, for example, existing types of VAWP, mechanisms to report, prevent and respond to VAWP, reported cases, and services available to women who experienced violence. They may also be engaged in discussions regarding information and knowledge gaps that could be addressed by the study. </w:t>
      </w:r>
    </w:p>
    <w:p w14:paraId="05B418F3" w14:textId="77777777" w:rsidR="00BF7588" w:rsidRPr="00BF7588" w:rsidRDefault="00BF7588" w:rsidP="00BF7588">
      <w:pPr>
        <w:pStyle w:val="NormalWeb"/>
        <w:numPr>
          <w:ilvl w:val="0"/>
          <w:numId w:val="4"/>
        </w:numPr>
        <w:spacing w:after="120"/>
        <w:jc w:val="both"/>
        <w:rPr>
          <w:rFonts w:asciiTheme="minorHAnsi" w:hAnsiTheme="minorHAnsi" w:cstheme="minorHAnsi"/>
          <w:sz w:val="22"/>
          <w:szCs w:val="22"/>
        </w:rPr>
      </w:pPr>
      <w:r w:rsidRPr="00BF7588">
        <w:rPr>
          <w:rFonts w:asciiTheme="minorHAnsi" w:hAnsiTheme="minorHAnsi" w:cstheme="minorHAnsi"/>
          <w:sz w:val="22"/>
          <w:szCs w:val="22"/>
        </w:rPr>
        <w:t>Virtual focus groups and/or in-depth individual interviews with a small sample of women who experienced or witnessed violence as candidates or as members of political office will provide information on (a) issues to be covered by the quantitative and qualitative components of the study (magnitude measurement vs. narratives of experiences, risk and protective factors, who are the perpetrators, when and where VAWP is taking place, consequences of violence etc.); (b) identify specific acts of violence experienced by women that should be captured in the questionnaire; (c) suggest specific phrasing that could be used when designing the questionnaire; and (d) recommend which violent act are perceived as most sensitive and therefore be placed at the end of the questionnaire/interview guide.  Part of the focus groups and in-depth individual interviews will be dedicated to cyber-VAWP.</w:t>
      </w:r>
    </w:p>
    <w:p w14:paraId="692DCF88" w14:textId="77777777" w:rsidR="00BF7588" w:rsidRPr="00BF7588" w:rsidRDefault="00BF7588" w:rsidP="00BF7588">
      <w:pPr>
        <w:pStyle w:val="NormalWeb"/>
        <w:numPr>
          <w:ilvl w:val="0"/>
          <w:numId w:val="4"/>
        </w:numPr>
        <w:spacing w:after="120"/>
        <w:jc w:val="both"/>
        <w:rPr>
          <w:rFonts w:asciiTheme="minorHAnsi" w:hAnsiTheme="minorHAnsi" w:cstheme="minorHAnsi"/>
          <w:sz w:val="22"/>
          <w:szCs w:val="22"/>
        </w:rPr>
      </w:pPr>
      <w:r w:rsidRPr="00BF7588">
        <w:rPr>
          <w:rFonts w:asciiTheme="minorHAnsi" w:hAnsiTheme="minorHAnsi" w:cstheme="minorHAnsi"/>
          <w:sz w:val="22"/>
          <w:szCs w:val="22"/>
        </w:rPr>
        <w:lastRenderedPageBreak/>
        <w:t xml:space="preserve">The focus groups and interviews should integrate ‘Leaving No One Behind’ principle and target women from different backgrounds/contexts, integrating women aspiring candidates or candidates with disabilities and local representatives from rural areas. Potential entry points for organizing focus groups may be political parties, election candidates in a certain area of the region, or elected women members of selected national or local government units. Special needs of women with disabilities will be addressed during the focus groups and interviews and will follow the United Nations Development </w:t>
      </w:r>
      <w:proofErr w:type="spellStart"/>
      <w:r w:rsidRPr="00BF7588">
        <w:rPr>
          <w:rFonts w:asciiTheme="minorHAnsi" w:hAnsiTheme="minorHAnsi" w:cstheme="minorHAnsi"/>
          <w:sz w:val="22"/>
          <w:szCs w:val="22"/>
        </w:rPr>
        <w:t>Programme’s</w:t>
      </w:r>
      <w:proofErr w:type="spellEnd"/>
      <w:r w:rsidRPr="00BF7588">
        <w:rPr>
          <w:rFonts w:asciiTheme="minorHAnsi" w:hAnsiTheme="minorHAnsi" w:cstheme="minorHAnsi"/>
          <w:sz w:val="22"/>
          <w:szCs w:val="22"/>
        </w:rPr>
        <w:t xml:space="preserve"> recommendations on persons with disabilities in elections. </w:t>
      </w:r>
    </w:p>
    <w:p w14:paraId="1D7F8986" w14:textId="77777777" w:rsidR="00BF7588" w:rsidRPr="00BF7588" w:rsidRDefault="00BF7588" w:rsidP="00BF7588">
      <w:pPr>
        <w:pStyle w:val="NormalWeb"/>
        <w:numPr>
          <w:ilvl w:val="0"/>
          <w:numId w:val="4"/>
        </w:numPr>
        <w:spacing w:after="120"/>
        <w:jc w:val="both"/>
        <w:rPr>
          <w:rFonts w:asciiTheme="minorHAnsi" w:hAnsiTheme="minorHAnsi" w:cstheme="minorHAnsi"/>
          <w:sz w:val="22"/>
          <w:szCs w:val="22"/>
        </w:rPr>
      </w:pPr>
      <w:r w:rsidRPr="00BF7588">
        <w:rPr>
          <w:rFonts w:asciiTheme="minorHAnsi" w:hAnsiTheme="minorHAnsi" w:cstheme="minorHAnsi"/>
          <w:sz w:val="22"/>
          <w:szCs w:val="22"/>
        </w:rPr>
        <w:t>At the end of this project component, two outputs may be expected: (</w:t>
      </w:r>
      <w:proofErr w:type="spellStart"/>
      <w:r w:rsidRPr="00BF7588">
        <w:rPr>
          <w:rFonts w:asciiTheme="minorHAnsi" w:hAnsiTheme="minorHAnsi" w:cstheme="minorHAnsi"/>
          <w:sz w:val="22"/>
          <w:szCs w:val="22"/>
        </w:rPr>
        <w:t>i</w:t>
      </w:r>
      <w:proofErr w:type="spellEnd"/>
      <w:r w:rsidRPr="00BF7588">
        <w:rPr>
          <w:rFonts w:asciiTheme="minorHAnsi" w:hAnsiTheme="minorHAnsi" w:cstheme="minorHAnsi"/>
          <w:sz w:val="22"/>
          <w:szCs w:val="22"/>
        </w:rPr>
        <w:t>) a transcript of information gathered in consultations, focus groups and interviews, which will inform the development of the survey questionnaire and the final report of the study; and (ii) an interview guide for qualitative data collection in the field (if applicable).</w:t>
      </w:r>
    </w:p>
    <w:p w14:paraId="40CB897C" w14:textId="77777777" w:rsidR="00BF7588" w:rsidRPr="00BF7588" w:rsidRDefault="00BF7588" w:rsidP="00BF7588">
      <w:pPr>
        <w:pStyle w:val="NormalWeb"/>
        <w:numPr>
          <w:ilvl w:val="0"/>
          <w:numId w:val="2"/>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Develop quantitative data collection tools</w:t>
      </w:r>
    </w:p>
    <w:p w14:paraId="5B662F8A" w14:textId="77777777" w:rsidR="00BF7588" w:rsidRPr="00BF7588" w:rsidRDefault="00BF7588" w:rsidP="00BF7588">
      <w:pPr>
        <w:pStyle w:val="NormalWeb"/>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The comparative quantitative surveys would be conducted in six countries: Egypt, Lebanon, Iraq, Jordan, </w:t>
      </w:r>
      <w:proofErr w:type="gramStart"/>
      <w:r w:rsidRPr="00BF7588">
        <w:rPr>
          <w:rFonts w:asciiTheme="minorHAnsi" w:hAnsiTheme="minorHAnsi" w:cstheme="minorHAnsi"/>
          <w:sz w:val="22"/>
          <w:szCs w:val="22"/>
        </w:rPr>
        <w:t>Morocco</w:t>
      </w:r>
      <w:proofErr w:type="gramEnd"/>
      <w:r w:rsidRPr="00BF7588">
        <w:rPr>
          <w:rFonts w:asciiTheme="minorHAnsi" w:hAnsiTheme="minorHAnsi" w:cstheme="minorHAnsi"/>
          <w:sz w:val="22"/>
          <w:szCs w:val="22"/>
        </w:rPr>
        <w:t xml:space="preserve"> and Palestine.</w:t>
      </w:r>
    </w:p>
    <w:p w14:paraId="7A3AA4A2" w14:textId="77777777" w:rsidR="00BF7588" w:rsidRPr="00BF7588" w:rsidRDefault="00BF7588" w:rsidP="00BF7588">
      <w:pPr>
        <w:pStyle w:val="NormalWeb"/>
        <w:numPr>
          <w:ilvl w:val="0"/>
          <w:numId w:val="9"/>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Further to the 2016 municipal elections, 663 women were elected in Lebanon; Lebanon further has 6 women in the House of </w:t>
      </w:r>
      <w:proofErr w:type="gramStart"/>
      <w:r w:rsidRPr="00BF7588">
        <w:rPr>
          <w:rFonts w:asciiTheme="minorHAnsi" w:hAnsiTheme="minorHAnsi" w:cstheme="minorHAnsi"/>
          <w:sz w:val="22"/>
          <w:szCs w:val="22"/>
        </w:rPr>
        <w:t>Representatives;</w:t>
      </w:r>
      <w:proofErr w:type="gramEnd"/>
      <w:r w:rsidRPr="00BF7588">
        <w:rPr>
          <w:rFonts w:asciiTheme="minorHAnsi" w:hAnsiTheme="minorHAnsi" w:cstheme="minorHAnsi"/>
          <w:sz w:val="22"/>
          <w:szCs w:val="22"/>
        </w:rPr>
        <w:t xml:space="preserve"> </w:t>
      </w:r>
    </w:p>
    <w:p w14:paraId="36CAE372" w14:textId="77777777" w:rsidR="00BF7588" w:rsidRPr="00BF7588" w:rsidRDefault="00BF7588" w:rsidP="00BF7588">
      <w:pPr>
        <w:pStyle w:val="NormalWeb"/>
        <w:numPr>
          <w:ilvl w:val="0"/>
          <w:numId w:val="9"/>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Egypt has no elected local government yet, but has 90 women in the lower </w:t>
      </w:r>
      <w:proofErr w:type="gramStart"/>
      <w:r w:rsidRPr="00BF7588">
        <w:rPr>
          <w:rFonts w:asciiTheme="minorHAnsi" w:hAnsiTheme="minorHAnsi" w:cstheme="minorHAnsi"/>
          <w:sz w:val="22"/>
          <w:szCs w:val="22"/>
        </w:rPr>
        <w:t>house;</w:t>
      </w:r>
      <w:proofErr w:type="gramEnd"/>
      <w:r w:rsidRPr="00BF7588">
        <w:rPr>
          <w:rFonts w:asciiTheme="minorHAnsi" w:hAnsiTheme="minorHAnsi" w:cstheme="minorHAnsi"/>
          <w:sz w:val="22"/>
          <w:szCs w:val="22"/>
        </w:rPr>
        <w:t xml:space="preserve"> </w:t>
      </w:r>
    </w:p>
    <w:p w14:paraId="20846B5A" w14:textId="77777777" w:rsidR="00BF7588" w:rsidRPr="00BF7588" w:rsidRDefault="00BF7588" w:rsidP="00BF7588">
      <w:pPr>
        <w:pStyle w:val="NormalWeb"/>
        <w:numPr>
          <w:ilvl w:val="0"/>
          <w:numId w:val="9"/>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Morocco has 6,673 women in local government (21.2% of city councils and 37.61% of regional councils), including 2 Presidents of Regional Councils (out of 12) and 21 Presidents of City Councils (out of 1,503) and 81 women in Parliament (including 71 elected thanks to quotas, and representing in total 21% of Parliamentarians),  </w:t>
      </w:r>
    </w:p>
    <w:p w14:paraId="1317147E" w14:textId="77777777" w:rsidR="00BF7588" w:rsidRPr="00BF7588" w:rsidRDefault="00BF7588" w:rsidP="00BF7588">
      <w:pPr>
        <w:pStyle w:val="NormalWeb"/>
        <w:numPr>
          <w:ilvl w:val="0"/>
          <w:numId w:val="9"/>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Jordan has 1,058 women in local government and 27 in the two parliament </w:t>
      </w:r>
      <w:proofErr w:type="gramStart"/>
      <w:r w:rsidRPr="00BF7588">
        <w:rPr>
          <w:rFonts w:asciiTheme="minorHAnsi" w:hAnsiTheme="minorHAnsi" w:cstheme="minorHAnsi"/>
          <w:sz w:val="22"/>
          <w:szCs w:val="22"/>
        </w:rPr>
        <w:t>houses;</w:t>
      </w:r>
      <w:proofErr w:type="gramEnd"/>
      <w:r w:rsidRPr="00BF7588">
        <w:rPr>
          <w:rFonts w:asciiTheme="minorHAnsi" w:hAnsiTheme="minorHAnsi" w:cstheme="minorHAnsi"/>
          <w:sz w:val="22"/>
          <w:szCs w:val="22"/>
        </w:rPr>
        <w:t xml:space="preserve"> </w:t>
      </w:r>
    </w:p>
    <w:p w14:paraId="7779F379" w14:textId="77777777" w:rsidR="00BF7588" w:rsidRPr="00BF7588" w:rsidRDefault="00BF7588" w:rsidP="00BF7588">
      <w:pPr>
        <w:pStyle w:val="NormalWeb"/>
        <w:numPr>
          <w:ilvl w:val="0"/>
          <w:numId w:val="9"/>
        </w:numPr>
        <w:spacing w:after="120"/>
        <w:jc w:val="both"/>
        <w:rPr>
          <w:rFonts w:asciiTheme="minorHAnsi" w:hAnsiTheme="minorHAnsi" w:cstheme="minorHAnsi"/>
          <w:sz w:val="22"/>
          <w:szCs w:val="22"/>
          <w:lang w:val="en-CA"/>
        </w:rPr>
      </w:pPr>
      <w:r w:rsidRPr="00BF7588">
        <w:rPr>
          <w:rFonts w:asciiTheme="minorHAnsi" w:hAnsiTheme="minorHAnsi" w:cstheme="minorHAnsi"/>
          <w:sz w:val="22"/>
          <w:szCs w:val="22"/>
        </w:rPr>
        <w:t xml:space="preserve">Iraq has 87 women in the House of Representatives; </w:t>
      </w:r>
      <w:r w:rsidRPr="00BF7588">
        <w:rPr>
          <w:rFonts w:asciiTheme="minorHAnsi" w:hAnsiTheme="minorHAnsi" w:cstheme="minorHAnsi"/>
          <w:sz w:val="22"/>
          <w:szCs w:val="22"/>
          <w:lang w:val="en-CA"/>
        </w:rPr>
        <w:t>provincial councils were suspended by the Parliament in October 2019.</w:t>
      </w:r>
    </w:p>
    <w:p w14:paraId="1C7E50A9" w14:textId="77777777" w:rsidR="00BF7588" w:rsidRPr="00BF7588" w:rsidRDefault="00BF7588" w:rsidP="00BF7588">
      <w:pPr>
        <w:pStyle w:val="NormalWeb"/>
        <w:numPr>
          <w:ilvl w:val="0"/>
          <w:numId w:val="9"/>
        </w:numPr>
        <w:spacing w:after="120"/>
        <w:jc w:val="both"/>
        <w:rPr>
          <w:rFonts w:asciiTheme="minorHAnsi" w:hAnsiTheme="minorHAnsi" w:cstheme="minorHAnsi"/>
          <w:sz w:val="22"/>
          <w:szCs w:val="22"/>
        </w:rPr>
      </w:pPr>
      <w:r w:rsidRPr="00BF7588">
        <w:rPr>
          <w:rFonts w:asciiTheme="minorHAnsi" w:hAnsiTheme="minorHAnsi" w:cstheme="minorHAnsi"/>
          <w:sz w:val="22"/>
          <w:szCs w:val="22"/>
        </w:rPr>
        <w:t xml:space="preserve">65 women hold a seat in the Palestinian National Council of the Palestine Liberation Organization and 1,205 hold a seat in local councils further to the 2012 elections. </w:t>
      </w:r>
    </w:p>
    <w:p w14:paraId="34E925DB"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rPr>
        <w:t xml:space="preserve">The scope of the quantitative data collection should cover all women in parliament in these six countries; a fraction of women in local government, and, </w:t>
      </w:r>
      <w:r w:rsidRPr="00BF7588">
        <w:rPr>
          <w:rFonts w:asciiTheme="minorHAnsi" w:hAnsiTheme="minorHAnsi" w:cstheme="minorHAnsi"/>
          <w:sz w:val="22"/>
          <w:szCs w:val="22"/>
          <w:lang w:val="en-US"/>
        </w:rPr>
        <w:t>where the representation of women elected for public office is very low (e.g., Lebanon), it may be considered to broaden the scope of the study to candidates and/or women appointed to senior political positions,</w:t>
      </w:r>
      <w:r w:rsidRPr="00BF7588">
        <w:rPr>
          <w:rFonts w:asciiTheme="minorHAnsi" w:hAnsiTheme="minorHAnsi" w:cstheme="minorHAnsi"/>
          <w:sz w:val="22"/>
          <w:szCs w:val="22"/>
        </w:rPr>
        <w:t xml:space="preserve"> for an estimated total of 1,500 survey respondents.</w:t>
      </w:r>
    </w:p>
    <w:p w14:paraId="6F5E20D1" w14:textId="77777777" w:rsidR="00BF7588" w:rsidRPr="00BF7588" w:rsidRDefault="00BF7588" w:rsidP="00BF7588">
      <w:pPr>
        <w:pStyle w:val="NormalWeb"/>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The quantitative data collection tools – including a questionnaire and interviewer's manual – will be developed by building on relevant existing methods of data collection on VAW and VAWP and preliminary qualitative research undertaken as part of this study. </w:t>
      </w:r>
    </w:p>
    <w:p w14:paraId="091DDF1A" w14:textId="77777777" w:rsidR="00BF7588" w:rsidRPr="00BF7588" w:rsidRDefault="00BF7588" w:rsidP="00BF7588">
      <w:pPr>
        <w:pStyle w:val="NormalWeb"/>
        <w:numPr>
          <w:ilvl w:val="0"/>
          <w:numId w:val="5"/>
        </w:numPr>
        <w:shd w:val="clear" w:color="auto" w:fill="FFFFFF" w:themeFill="background1"/>
        <w:snapToGrid w:val="0"/>
        <w:spacing w:before="120" w:beforeAutospacing="0" w:after="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The questionnaire will reflect the purpose of the study and capture experiences of women in politics, with a particular focus on assessing obstacles to women’s political participation in local government, including the experience of violence, magnitude, forms of violence, risk and protective factors, help-seeking behavior, and consequences. </w:t>
      </w:r>
    </w:p>
    <w:p w14:paraId="5A048E95" w14:textId="77777777" w:rsidR="00BF7588" w:rsidRPr="00BF7588" w:rsidRDefault="00BF7588" w:rsidP="00BF7588">
      <w:pPr>
        <w:pStyle w:val="NormalWeb"/>
        <w:numPr>
          <w:ilvl w:val="0"/>
          <w:numId w:val="5"/>
        </w:numPr>
        <w:shd w:val="clear" w:color="auto" w:fill="FFFFFF" w:themeFill="background1"/>
        <w:snapToGrid w:val="0"/>
        <w:spacing w:before="120" w:beforeAutospacing="0" w:after="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The interviewer’s manual will cover all aspects of the survey, to serve as guidance during training and fieldwork operations, including, for example, purpose of the survey, introduction of the survey to respondents, responsibilities of interviewers, interviewing rules, how to </w:t>
      </w:r>
      <w:r w:rsidRPr="00BF7588">
        <w:rPr>
          <w:rFonts w:asciiTheme="minorHAnsi" w:hAnsiTheme="minorHAnsi" w:cstheme="minorHAnsi"/>
          <w:sz w:val="22"/>
          <w:szCs w:val="22"/>
        </w:rPr>
        <w:lastRenderedPageBreak/>
        <w:t>minimize non-response, detailed instructions on each question in the questionnaire, minimizing and responding to emotional distress, etc.</w:t>
      </w:r>
    </w:p>
    <w:p w14:paraId="7BDED56C" w14:textId="77777777" w:rsidR="00BF7588" w:rsidRPr="00BF7588" w:rsidRDefault="00BF7588" w:rsidP="00BF7588">
      <w:pPr>
        <w:pStyle w:val="NormalWeb"/>
        <w:numPr>
          <w:ilvl w:val="0"/>
          <w:numId w:val="5"/>
        </w:numPr>
        <w:shd w:val="clear" w:color="auto" w:fill="FFFFFF" w:themeFill="background1"/>
        <w:snapToGrid w:val="0"/>
        <w:spacing w:before="120" w:beforeAutospacing="0" w:after="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The quantitative data collection tools – including a questionnaire and interviewer's manual – will be adjusted so the findings also reflect answers from women with disabilities. </w:t>
      </w:r>
    </w:p>
    <w:p w14:paraId="2EAE94A2" w14:textId="77777777" w:rsidR="00BF7588" w:rsidRPr="00BF7588" w:rsidRDefault="00BF7588" w:rsidP="00BF7588">
      <w:pPr>
        <w:pStyle w:val="NormalWeb"/>
        <w:numPr>
          <w:ilvl w:val="0"/>
          <w:numId w:val="5"/>
        </w:numPr>
        <w:shd w:val="clear" w:color="auto" w:fill="FFFFFF" w:themeFill="background1"/>
        <w:snapToGrid w:val="0"/>
        <w:spacing w:before="120" w:beforeAutospacing="0" w:after="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Both the questionnaire and the manual (as well as the field data collection) will be consistent with research ethics and confidentiality requirements in line with the principle of Do No Harm and the WHO Ethical and safety recommendations for intervention research on violence against women, as well as considerations for integrating and operationalizing LNOB. </w:t>
      </w:r>
    </w:p>
    <w:p w14:paraId="7A88E330" w14:textId="77777777" w:rsidR="00BF7588" w:rsidRPr="00BF7588" w:rsidRDefault="00BF7588" w:rsidP="00BF7588">
      <w:pPr>
        <w:pStyle w:val="NormalWeb"/>
        <w:numPr>
          <w:ilvl w:val="0"/>
          <w:numId w:val="5"/>
        </w:numPr>
        <w:shd w:val="clear" w:color="auto" w:fill="FFFFFF" w:themeFill="background1"/>
        <w:snapToGrid w:val="0"/>
        <w:spacing w:before="120" w:beforeAutospacing="0" w:after="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Developing a testing strategy, including pilot training, for the tools, to capture different methods (expert reviews, cognitive testing and field pretesting, for example) and types of respondents and </w:t>
      </w:r>
      <w:proofErr w:type="gramStart"/>
      <w:r w:rsidRPr="00BF7588">
        <w:rPr>
          <w:rFonts w:asciiTheme="minorHAnsi" w:hAnsiTheme="minorHAnsi" w:cstheme="minorHAnsi"/>
          <w:sz w:val="22"/>
          <w:szCs w:val="22"/>
        </w:rPr>
        <w:t>environments;</w:t>
      </w:r>
      <w:proofErr w:type="gramEnd"/>
    </w:p>
    <w:p w14:paraId="7080AE8E" w14:textId="77777777" w:rsidR="00BF7588" w:rsidRPr="00BF7588" w:rsidRDefault="00BF7588" w:rsidP="00BF7588">
      <w:pPr>
        <w:pStyle w:val="NormalWeb"/>
        <w:numPr>
          <w:ilvl w:val="0"/>
          <w:numId w:val="5"/>
        </w:numPr>
        <w:shd w:val="clear" w:color="auto" w:fill="FFFFFF" w:themeFill="background1"/>
        <w:snapToGrid w:val="0"/>
        <w:spacing w:before="120" w:beforeAutospacing="0" w:after="0" w:afterAutospacing="0"/>
        <w:jc w:val="both"/>
        <w:rPr>
          <w:rFonts w:asciiTheme="minorHAnsi" w:hAnsiTheme="minorHAnsi" w:cstheme="minorHAnsi"/>
          <w:sz w:val="22"/>
          <w:szCs w:val="22"/>
        </w:rPr>
      </w:pPr>
      <w:r w:rsidRPr="00BF7588">
        <w:rPr>
          <w:rFonts w:asciiTheme="minorHAnsi" w:hAnsiTheme="minorHAnsi" w:cstheme="minorHAnsi"/>
          <w:sz w:val="22"/>
          <w:szCs w:val="22"/>
        </w:rPr>
        <w:t>Testing of data collection tools and training materials, including the implementation of a pilot training and survey.</w:t>
      </w:r>
    </w:p>
    <w:p w14:paraId="13B58330" w14:textId="77777777" w:rsidR="00BF7588" w:rsidRPr="00BF7588" w:rsidRDefault="00BF7588" w:rsidP="00BF7588">
      <w:pPr>
        <w:pStyle w:val="NormalWeb"/>
        <w:numPr>
          <w:ilvl w:val="0"/>
          <w:numId w:val="2"/>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Prepare a sample design for quantitative data collection</w:t>
      </w:r>
    </w:p>
    <w:p w14:paraId="357676D2" w14:textId="77777777" w:rsidR="00BF7588" w:rsidRPr="00BF7588" w:rsidRDefault="00BF7588" w:rsidP="00BF7588">
      <w:pPr>
        <w:pStyle w:val="NormalWeb"/>
        <w:numPr>
          <w:ilvl w:val="0"/>
          <w:numId w:val="6"/>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 xml:space="preserve">The survey sample design will ensure the adequate representation of women holding specific positions in national and local governments (parliamentarians, mayors, deputy mayors, ward chairs, ward members), women from vulnerable groups (e.g., women with disabilities, indigenous, rural women). The sample size should be large enough to assess, at a minimum, the </w:t>
      </w:r>
      <w:proofErr w:type="gramStart"/>
      <w:r w:rsidRPr="00BF7588">
        <w:rPr>
          <w:rFonts w:asciiTheme="minorHAnsi" w:hAnsiTheme="minorHAnsi" w:cstheme="minorHAnsi"/>
          <w:sz w:val="22"/>
          <w:szCs w:val="22"/>
        </w:rPr>
        <w:t>magnitude</w:t>
      </w:r>
      <w:proofErr w:type="gramEnd"/>
      <w:r w:rsidRPr="00BF7588">
        <w:rPr>
          <w:rFonts w:asciiTheme="minorHAnsi" w:hAnsiTheme="minorHAnsi" w:cstheme="minorHAnsi"/>
          <w:sz w:val="22"/>
          <w:szCs w:val="22"/>
        </w:rPr>
        <w:t xml:space="preserve"> and forms of VAWP overall and cyber-VAWP in particular. VAWP and cyber-VAWP for specific groups of women as noted above will be analyzed. </w:t>
      </w:r>
    </w:p>
    <w:p w14:paraId="1CB91A7A" w14:textId="77777777" w:rsidR="00BF7588" w:rsidRPr="00BF7588" w:rsidRDefault="00BF7588" w:rsidP="00BF7588">
      <w:pPr>
        <w:pStyle w:val="NormalWeb"/>
        <w:numPr>
          <w:ilvl w:val="0"/>
          <w:numId w:val="6"/>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A brief sampling note will detail the sample design, including the sampling frame, the principles used in selecting primary sampling units, the location of sampling units, and the respondent selection protocol.</w:t>
      </w:r>
    </w:p>
    <w:p w14:paraId="0439790A" w14:textId="77777777" w:rsidR="00BF7588" w:rsidRPr="00BF7588" w:rsidRDefault="00BF7588" w:rsidP="00BF7588">
      <w:pPr>
        <w:pStyle w:val="NormalWeb"/>
        <w:numPr>
          <w:ilvl w:val="0"/>
          <w:numId w:val="2"/>
        </w:numPr>
        <w:shd w:val="clear" w:color="auto" w:fill="FFFFFF" w:themeFill="background1"/>
        <w:snapToGrid w:val="0"/>
        <w:spacing w:before="120" w:beforeAutospacing="0" w:after="120" w:afterAutospacing="0"/>
        <w:jc w:val="both"/>
        <w:rPr>
          <w:rFonts w:asciiTheme="minorHAnsi" w:hAnsiTheme="minorHAnsi" w:cstheme="minorHAnsi"/>
          <w:sz w:val="22"/>
          <w:szCs w:val="22"/>
        </w:rPr>
      </w:pPr>
      <w:r w:rsidRPr="00BF7588">
        <w:rPr>
          <w:rFonts w:asciiTheme="minorHAnsi" w:hAnsiTheme="minorHAnsi" w:cstheme="minorHAnsi"/>
          <w:sz w:val="22"/>
          <w:szCs w:val="22"/>
        </w:rPr>
        <w:t>Conduct field data collection</w:t>
      </w:r>
    </w:p>
    <w:p w14:paraId="2BE52962" w14:textId="77777777" w:rsidR="00BF7588" w:rsidRPr="00BF7588" w:rsidRDefault="00BF7588" w:rsidP="00BF7588">
      <w:pPr>
        <w:pStyle w:val="NormalWeb"/>
        <w:shd w:val="clear" w:color="auto" w:fill="FFFFFF" w:themeFill="background1"/>
        <w:snapToGrid w:val="0"/>
        <w:spacing w:before="120"/>
        <w:jc w:val="both"/>
        <w:rPr>
          <w:rFonts w:asciiTheme="minorHAnsi" w:hAnsiTheme="minorHAnsi" w:cstheme="minorHAnsi"/>
          <w:color w:val="000000" w:themeColor="text1"/>
          <w:sz w:val="22"/>
          <w:szCs w:val="22"/>
        </w:rPr>
      </w:pPr>
      <w:r w:rsidRPr="00BF7588">
        <w:rPr>
          <w:rFonts w:asciiTheme="minorHAnsi" w:hAnsiTheme="minorHAnsi" w:cstheme="minorHAnsi"/>
          <w:sz w:val="22"/>
          <w:szCs w:val="22"/>
        </w:rPr>
        <w:t>Field data collection may include a quantitative and qualitative data component. Activities conducted under this component will be conducted in compliance with public health recommendations and guidance developed</w:t>
      </w:r>
      <w:r w:rsidRPr="00BF7588">
        <w:rPr>
          <w:rFonts w:asciiTheme="minorHAnsi" w:hAnsiTheme="minorHAnsi" w:cstheme="minorHAnsi"/>
          <w:color w:val="000000" w:themeColor="text1"/>
          <w:sz w:val="22"/>
          <w:szCs w:val="22"/>
        </w:rPr>
        <w:t xml:space="preserve"> </w:t>
      </w:r>
      <w:r w:rsidRPr="00BF7588">
        <w:rPr>
          <w:rFonts w:asciiTheme="minorHAnsi" w:hAnsiTheme="minorHAnsi" w:cstheme="minorHAnsi"/>
          <w:sz w:val="22"/>
          <w:szCs w:val="22"/>
        </w:rPr>
        <w:t xml:space="preserve">in the context of the COVID-19 pandemic. Priority will be given to virtual field data collection. </w:t>
      </w:r>
      <w:r w:rsidRPr="00BF7588">
        <w:rPr>
          <w:rFonts w:asciiTheme="minorHAnsi" w:hAnsiTheme="minorHAnsi" w:cstheme="minorHAnsi"/>
          <w:color w:val="000000" w:themeColor="text1"/>
          <w:sz w:val="22"/>
          <w:szCs w:val="22"/>
        </w:rPr>
        <w:t xml:space="preserve"> </w:t>
      </w:r>
    </w:p>
    <w:p w14:paraId="117169A6" w14:textId="77777777" w:rsidR="00BF7588" w:rsidRPr="00BF7588" w:rsidRDefault="00BF7588" w:rsidP="00BF7588">
      <w:pPr>
        <w:pStyle w:val="NormalWeb"/>
        <w:numPr>
          <w:ilvl w:val="1"/>
          <w:numId w:val="1"/>
        </w:numPr>
        <w:jc w:val="both"/>
        <w:rPr>
          <w:rFonts w:asciiTheme="minorHAnsi" w:hAnsiTheme="minorHAnsi" w:cstheme="minorHAnsi"/>
          <w:sz w:val="22"/>
          <w:szCs w:val="22"/>
        </w:rPr>
      </w:pPr>
      <w:r w:rsidRPr="00BF7588">
        <w:rPr>
          <w:rFonts w:asciiTheme="minorHAnsi" w:hAnsiTheme="minorHAnsi" w:cstheme="minorHAnsi"/>
          <w:sz w:val="22"/>
          <w:szCs w:val="22"/>
        </w:rPr>
        <w:t>Quantitative data collection</w:t>
      </w:r>
    </w:p>
    <w:p w14:paraId="46EEBF00" w14:textId="77777777" w:rsidR="00BF7588" w:rsidRPr="00BF7588" w:rsidRDefault="00BF7588" w:rsidP="00BF7588">
      <w:pPr>
        <w:pStyle w:val="NormalWeb"/>
        <w:numPr>
          <w:ilvl w:val="0"/>
          <w:numId w:val="7"/>
        </w:numPr>
        <w:jc w:val="both"/>
        <w:rPr>
          <w:rFonts w:asciiTheme="minorHAnsi" w:hAnsiTheme="minorHAnsi" w:cstheme="minorHAnsi"/>
          <w:sz w:val="22"/>
          <w:szCs w:val="22"/>
        </w:rPr>
      </w:pPr>
      <w:r w:rsidRPr="00BF7588">
        <w:rPr>
          <w:rFonts w:asciiTheme="minorHAnsi" w:hAnsiTheme="minorHAnsi" w:cstheme="minorHAnsi"/>
          <w:sz w:val="22"/>
          <w:szCs w:val="22"/>
        </w:rPr>
        <w:t xml:space="preserve">Development of a data collection plan consistent with the sampling design and specifying the timeline of activities, number and selection of interviewers and supervisors, and the quality assurance mechanism for the data collection in the field. </w:t>
      </w:r>
    </w:p>
    <w:p w14:paraId="50223798" w14:textId="77777777" w:rsidR="00BF7588" w:rsidRPr="00BF7588" w:rsidRDefault="00BF7588" w:rsidP="00BF7588">
      <w:pPr>
        <w:pStyle w:val="NormalWeb"/>
        <w:numPr>
          <w:ilvl w:val="0"/>
          <w:numId w:val="7"/>
        </w:numPr>
        <w:jc w:val="both"/>
        <w:rPr>
          <w:rFonts w:asciiTheme="minorHAnsi" w:hAnsiTheme="minorHAnsi" w:cstheme="minorHAnsi"/>
          <w:sz w:val="22"/>
          <w:szCs w:val="22"/>
        </w:rPr>
      </w:pPr>
      <w:r w:rsidRPr="00BF7588">
        <w:rPr>
          <w:rFonts w:asciiTheme="minorHAnsi" w:hAnsiTheme="minorHAnsi" w:cstheme="minorHAnsi"/>
          <w:sz w:val="22"/>
          <w:szCs w:val="22"/>
        </w:rPr>
        <w:t>Training for enumerators and supervisors on the administration of the survey</w:t>
      </w:r>
      <w:r w:rsidRPr="00BF7588">
        <w:rPr>
          <w:rFonts w:asciiTheme="minorHAnsi" w:hAnsiTheme="minorHAnsi" w:cstheme="minorHAnsi"/>
          <w:sz w:val="22"/>
          <w:szCs w:val="22"/>
        </w:rPr>
        <w:footnoteReference w:id="11"/>
      </w:r>
      <w:r w:rsidRPr="00BF7588">
        <w:rPr>
          <w:rFonts w:asciiTheme="minorHAnsi" w:hAnsiTheme="minorHAnsi" w:cstheme="minorHAnsi"/>
          <w:sz w:val="22"/>
          <w:szCs w:val="22"/>
        </w:rPr>
        <w:t xml:space="preserve"> building on WHO and UNSD guidelines, covering GEWE concepts and concerns as well as research ethics and confidentiality. Given the high sensitivity of the topic, special attention will be paid to the principle of Do No Harm as well as guaranteeing privacy and providing assurance that the information collected will only be used for the purposes of the study;</w:t>
      </w:r>
    </w:p>
    <w:p w14:paraId="4BBB9ED4" w14:textId="77777777" w:rsidR="00BF7588" w:rsidRPr="00BF7588" w:rsidRDefault="00BF7588" w:rsidP="00BF7588">
      <w:pPr>
        <w:pStyle w:val="NormalWeb"/>
        <w:numPr>
          <w:ilvl w:val="0"/>
          <w:numId w:val="7"/>
        </w:numPr>
        <w:jc w:val="both"/>
        <w:rPr>
          <w:rFonts w:asciiTheme="minorHAnsi" w:hAnsiTheme="minorHAnsi" w:cstheme="minorHAnsi"/>
          <w:sz w:val="22"/>
          <w:szCs w:val="22"/>
        </w:rPr>
      </w:pPr>
      <w:r w:rsidRPr="00BF7588">
        <w:rPr>
          <w:rFonts w:asciiTheme="minorHAnsi" w:hAnsiTheme="minorHAnsi" w:cstheme="minorHAnsi"/>
          <w:sz w:val="22"/>
          <w:szCs w:val="22"/>
        </w:rPr>
        <w:t xml:space="preserve">Data collection in the </w:t>
      </w:r>
      <w:proofErr w:type="gramStart"/>
      <w:r w:rsidRPr="00BF7588">
        <w:rPr>
          <w:rFonts w:asciiTheme="minorHAnsi" w:hAnsiTheme="minorHAnsi" w:cstheme="minorHAnsi"/>
          <w:sz w:val="22"/>
          <w:szCs w:val="22"/>
        </w:rPr>
        <w:t>field;</w:t>
      </w:r>
      <w:proofErr w:type="gramEnd"/>
    </w:p>
    <w:p w14:paraId="77C91855" w14:textId="77777777" w:rsidR="00BF7588" w:rsidRPr="00BF7588" w:rsidRDefault="00BF7588" w:rsidP="00BF7588">
      <w:pPr>
        <w:pStyle w:val="NormalWeb"/>
        <w:numPr>
          <w:ilvl w:val="0"/>
          <w:numId w:val="7"/>
        </w:numPr>
        <w:jc w:val="both"/>
        <w:rPr>
          <w:rFonts w:asciiTheme="minorHAnsi" w:hAnsiTheme="minorHAnsi" w:cstheme="minorHAnsi"/>
          <w:sz w:val="22"/>
          <w:szCs w:val="22"/>
        </w:rPr>
      </w:pPr>
      <w:r w:rsidRPr="00BF7588">
        <w:rPr>
          <w:rFonts w:asciiTheme="minorHAnsi" w:hAnsiTheme="minorHAnsi" w:cstheme="minorHAnsi"/>
          <w:sz w:val="22"/>
          <w:szCs w:val="22"/>
        </w:rPr>
        <w:t>Data entry (if paper questionnaire used</w:t>
      </w:r>
      <w:proofErr w:type="gramStart"/>
      <w:r w:rsidRPr="00BF7588">
        <w:rPr>
          <w:rFonts w:asciiTheme="minorHAnsi" w:hAnsiTheme="minorHAnsi" w:cstheme="minorHAnsi"/>
          <w:sz w:val="22"/>
          <w:szCs w:val="22"/>
        </w:rPr>
        <w:t>);</w:t>
      </w:r>
      <w:proofErr w:type="gramEnd"/>
    </w:p>
    <w:p w14:paraId="78B7759A" w14:textId="77777777" w:rsidR="00BF7588" w:rsidRPr="00BF7588" w:rsidRDefault="00BF7588" w:rsidP="00BF7588">
      <w:pPr>
        <w:pStyle w:val="NormalWeb"/>
        <w:numPr>
          <w:ilvl w:val="0"/>
          <w:numId w:val="7"/>
        </w:numPr>
        <w:jc w:val="both"/>
        <w:rPr>
          <w:rFonts w:asciiTheme="minorHAnsi" w:hAnsiTheme="minorHAnsi" w:cstheme="minorHAnsi"/>
          <w:sz w:val="22"/>
          <w:szCs w:val="22"/>
        </w:rPr>
      </w:pPr>
      <w:r w:rsidRPr="00BF7588">
        <w:rPr>
          <w:rFonts w:asciiTheme="minorHAnsi" w:hAnsiTheme="minorHAnsi" w:cstheme="minorHAnsi"/>
          <w:sz w:val="22"/>
          <w:szCs w:val="22"/>
        </w:rPr>
        <w:lastRenderedPageBreak/>
        <w:t>Development of a brief report on lessons learned from the field (summarizing challenges in approaching respondents, if some questions didn’t work, etc.</w:t>
      </w:r>
      <w:proofErr w:type="gramStart"/>
      <w:r w:rsidRPr="00BF7588">
        <w:rPr>
          <w:rFonts w:asciiTheme="minorHAnsi" w:hAnsiTheme="minorHAnsi" w:cstheme="minorHAnsi"/>
          <w:sz w:val="22"/>
          <w:szCs w:val="22"/>
        </w:rPr>
        <w:t>);</w:t>
      </w:r>
      <w:proofErr w:type="gramEnd"/>
      <w:r w:rsidRPr="00BF7588">
        <w:rPr>
          <w:rFonts w:asciiTheme="minorHAnsi" w:hAnsiTheme="minorHAnsi" w:cstheme="minorHAnsi"/>
          <w:sz w:val="22"/>
          <w:szCs w:val="22"/>
        </w:rPr>
        <w:t xml:space="preserve"> </w:t>
      </w:r>
    </w:p>
    <w:p w14:paraId="752FD214" w14:textId="0BE8ACFA" w:rsidR="00BF7588" w:rsidRPr="00BF7588" w:rsidRDefault="00BF7588" w:rsidP="00BF7588">
      <w:pPr>
        <w:pStyle w:val="NormalWeb"/>
        <w:numPr>
          <w:ilvl w:val="0"/>
          <w:numId w:val="7"/>
        </w:numPr>
        <w:jc w:val="both"/>
        <w:rPr>
          <w:rFonts w:asciiTheme="minorHAnsi" w:hAnsiTheme="minorHAnsi" w:cstheme="minorHAnsi"/>
          <w:sz w:val="22"/>
          <w:szCs w:val="22"/>
        </w:rPr>
      </w:pPr>
      <w:r w:rsidRPr="00BF7588">
        <w:rPr>
          <w:rFonts w:asciiTheme="minorHAnsi" w:hAnsiTheme="minorHAnsi" w:cstheme="minorHAnsi"/>
          <w:sz w:val="22"/>
          <w:szCs w:val="22"/>
        </w:rPr>
        <w:t>Checking the fieldwork and data entry by a separate entity from the one fielding the survey.</w:t>
      </w:r>
    </w:p>
    <w:p w14:paraId="469B45B9" w14:textId="77777777" w:rsidR="00BF7588" w:rsidRPr="00BF7588" w:rsidRDefault="00BF7588" w:rsidP="00BF7588">
      <w:pPr>
        <w:pStyle w:val="NormalWeb"/>
        <w:numPr>
          <w:ilvl w:val="1"/>
          <w:numId w:val="1"/>
        </w:numPr>
        <w:jc w:val="both"/>
        <w:rPr>
          <w:rFonts w:asciiTheme="minorHAnsi" w:hAnsiTheme="minorHAnsi" w:cstheme="minorHAnsi"/>
          <w:sz w:val="22"/>
          <w:szCs w:val="22"/>
        </w:rPr>
      </w:pPr>
      <w:r w:rsidRPr="00BF7588">
        <w:rPr>
          <w:rFonts w:asciiTheme="minorHAnsi" w:hAnsiTheme="minorHAnsi" w:cstheme="minorHAnsi"/>
          <w:sz w:val="22"/>
          <w:szCs w:val="22"/>
        </w:rPr>
        <w:t>Qualitative data collection</w:t>
      </w:r>
    </w:p>
    <w:p w14:paraId="4DCE98CE" w14:textId="77777777" w:rsidR="00BF7588" w:rsidRPr="00BF7588" w:rsidRDefault="00BF7588" w:rsidP="00BF7588">
      <w:pPr>
        <w:pStyle w:val="NormalWeb"/>
        <w:numPr>
          <w:ilvl w:val="0"/>
          <w:numId w:val="8"/>
        </w:numPr>
        <w:jc w:val="both"/>
        <w:rPr>
          <w:rFonts w:asciiTheme="minorHAnsi" w:hAnsiTheme="minorHAnsi" w:cstheme="minorHAnsi"/>
          <w:sz w:val="22"/>
          <w:szCs w:val="22"/>
        </w:rPr>
      </w:pPr>
      <w:r w:rsidRPr="00BF7588">
        <w:rPr>
          <w:rFonts w:asciiTheme="minorHAnsi" w:hAnsiTheme="minorHAnsi" w:cstheme="minorHAnsi"/>
          <w:sz w:val="22"/>
          <w:szCs w:val="22"/>
        </w:rPr>
        <w:t>Development of a qualitative data collection plan, including the number of interviews and principles in selecting persons for in-depth interview, including LNOB</w:t>
      </w:r>
      <w:r w:rsidRPr="00BF7588">
        <w:rPr>
          <w:rFonts w:asciiTheme="minorHAnsi" w:hAnsiTheme="minorHAnsi" w:cstheme="minorHAnsi"/>
          <w:sz w:val="22"/>
          <w:szCs w:val="22"/>
        </w:rPr>
        <w:footnoteReference w:id="12"/>
      </w:r>
      <w:r w:rsidRPr="00BF7588">
        <w:rPr>
          <w:rFonts w:asciiTheme="minorHAnsi" w:hAnsiTheme="minorHAnsi" w:cstheme="minorHAnsi"/>
          <w:sz w:val="22"/>
          <w:szCs w:val="22"/>
        </w:rPr>
        <w:t xml:space="preserve">. </w:t>
      </w:r>
    </w:p>
    <w:p w14:paraId="09C9056F" w14:textId="77777777" w:rsidR="00BF7588" w:rsidRPr="00BF7588" w:rsidRDefault="00BF7588" w:rsidP="00BF7588">
      <w:pPr>
        <w:pStyle w:val="NormalWeb"/>
        <w:numPr>
          <w:ilvl w:val="0"/>
          <w:numId w:val="8"/>
        </w:numPr>
        <w:jc w:val="both"/>
        <w:rPr>
          <w:rFonts w:asciiTheme="minorHAnsi" w:hAnsiTheme="minorHAnsi" w:cstheme="minorHAnsi"/>
          <w:sz w:val="22"/>
          <w:szCs w:val="22"/>
        </w:rPr>
      </w:pPr>
      <w:r w:rsidRPr="00BF7588">
        <w:rPr>
          <w:rFonts w:asciiTheme="minorHAnsi" w:hAnsiTheme="minorHAnsi" w:cstheme="minorHAnsi"/>
          <w:sz w:val="22"/>
          <w:szCs w:val="22"/>
        </w:rPr>
        <w:t>The qualitative data collection may be conducted independently or integrated with the survey data collection. The feasibility of having qualitative data collection based on in-depth interviews with selected survivors of violence identified after the administration of the questionnaire, should be assessed, particularly in terms of timing (immediately after the administration of the questionnaire or later) and the person conducting the in-depth interview (an enumerator or a supervisor).</w:t>
      </w:r>
    </w:p>
    <w:p w14:paraId="7FE22AB1" w14:textId="77777777" w:rsidR="00BF7588" w:rsidRPr="00BF7588" w:rsidRDefault="00BF7588" w:rsidP="00BF7588">
      <w:pPr>
        <w:pStyle w:val="NormalWeb"/>
        <w:numPr>
          <w:ilvl w:val="0"/>
          <w:numId w:val="8"/>
        </w:numPr>
        <w:jc w:val="both"/>
        <w:rPr>
          <w:rFonts w:asciiTheme="minorHAnsi" w:hAnsiTheme="minorHAnsi" w:cstheme="minorHAnsi"/>
          <w:sz w:val="22"/>
          <w:szCs w:val="22"/>
        </w:rPr>
      </w:pPr>
      <w:r w:rsidRPr="00BF7588">
        <w:rPr>
          <w:rFonts w:asciiTheme="minorHAnsi" w:hAnsiTheme="minorHAnsi" w:cstheme="minorHAnsi"/>
          <w:sz w:val="22"/>
          <w:szCs w:val="22"/>
        </w:rPr>
        <w:t xml:space="preserve">Conducting qualitative </w:t>
      </w:r>
      <w:proofErr w:type="gramStart"/>
      <w:r w:rsidRPr="00BF7588">
        <w:rPr>
          <w:rFonts w:asciiTheme="minorHAnsi" w:hAnsiTheme="minorHAnsi" w:cstheme="minorHAnsi"/>
          <w:sz w:val="22"/>
          <w:szCs w:val="22"/>
        </w:rPr>
        <w:t>interviews;</w:t>
      </w:r>
      <w:proofErr w:type="gramEnd"/>
    </w:p>
    <w:p w14:paraId="228CD16C" w14:textId="77777777" w:rsidR="00BF7588" w:rsidRPr="00BF7588" w:rsidRDefault="00BF7588" w:rsidP="00BF7588">
      <w:pPr>
        <w:pStyle w:val="NormalWeb"/>
        <w:numPr>
          <w:ilvl w:val="0"/>
          <w:numId w:val="8"/>
        </w:numPr>
        <w:jc w:val="both"/>
        <w:rPr>
          <w:rFonts w:asciiTheme="minorHAnsi" w:hAnsiTheme="minorHAnsi" w:cstheme="minorHAnsi"/>
          <w:sz w:val="22"/>
          <w:szCs w:val="22"/>
        </w:rPr>
      </w:pPr>
      <w:r w:rsidRPr="00BF7588">
        <w:rPr>
          <w:rFonts w:asciiTheme="minorHAnsi" w:hAnsiTheme="minorHAnsi" w:cstheme="minorHAnsi"/>
          <w:sz w:val="22"/>
          <w:szCs w:val="22"/>
        </w:rPr>
        <w:t xml:space="preserve">Transcript of interviews. </w:t>
      </w:r>
    </w:p>
    <w:p w14:paraId="0F4ADF4C" w14:textId="77777777" w:rsidR="00BF7588" w:rsidRPr="00BF7588" w:rsidRDefault="00BF7588" w:rsidP="00BF7588">
      <w:pPr>
        <w:spacing w:before="100" w:beforeAutospacing="1" w:after="100" w:afterAutospacing="1"/>
        <w:jc w:val="both"/>
        <w:rPr>
          <w:rFonts w:asciiTheme="minorHAnsi" w:hAnsiTheme="minorHAnsi" w:cstheme="minorHAnsi"/>
          <w:color w:val="FF0000"/>
          <w:sz w:val="22"/>
          <w:szCs w:val="22"/>
        </w:rPr>
      </w:pPr>
      <w:r w:rsidRPr="00BF7588">
        <w:rPr>
          <w:rFonts w:asciiTheme="minorHAnsi" w:hAnsiTheme="minorHAnsi" w:cstheme="minorHAnsi"/>
          <w:color w:val="FF0000"/>
          <w:sz w:val="22"/>
          <w:szCs w:val="22"/>
        </w:rPr>
        <w:t xml:space="preserve">Timeframe </w:t>
      </w:r>
    </w:p>
    <w:p w14:paraId="46652FE4" w14:textId="77777777" w:rsidR="00BF7588" w:rsidRPr="00BF7588" w:rsidRDefault="00BF7588" w:rsidP="00BF7588">
      <w:pPr>
        <w:spacing w:before="100" w:beforeAutospacing="1" w:after="100" w:afterAutospacing="1"/>
        <w:jc w:val="both"/>
        <w:rPr>
          <w:rFonts w:asciiTheme="minorHAnsi" w:hAnsiTheme="minorHAnsi" w:cstheme="minorHAnsi"/>
          <w:sz w:val="22"/>
          <w:szCs w:val="22"/>
          <w:lang w:val="en-US"/>
        </w:rPr>
      </w:pPr>
      <w:r w:rsidRPr="00BF7588">
        <w:rPr>
          <w:rFonts w:asciiTheme="minorHAnsi" w:hAnsiTheme="minorHAnsi" w:cstheme="minorHAnsi"/>
          <w:sz w:val="22"/>
          <w:szCs w:val="22"/>
          <w:lang w:val="en-US"/>
        </w:rPr>
        <w:t>The assignment will take place from December 2020 to 30 May 2021.</w:t>
      </w:r>
    </w:p>
    <w:p w14:paraId="7A691908" w14:textId="1DD541FB" w:rsidR="00BF7588" w:rsidRPr="00BF7588" w:rsidRDefault="00BF7588" w:rsidP="00BF7588">
      <w:pPr>
        <w:spacing w:before="100" w:beforeAutospacing="1" w:after="100" w:afterAutospacing="1"/>
        <w:jc w:val="both"/>
        <w:rPr>
          <w:rFonts w:asciiTheme="minorHAnsi" w:hAnsiTheme="minorHAnsi" w:cstheme="minorHAnsi"/>
          <w:sz w:val="22"/>
          <w:szCs w:val="22"/>
        </w:rPr>
      </w:pPr>
      <w:r w:rsidRPr="00BF7588">
        <w:rPr>
          <w:rFonts w:asciiTheme="minorHAnsi" w:hAnsiTheme="minorHAnsi" w:cstheme="minorHAnsi"/>
          <w:color w:val="FF0000"/>
          <w:sz w:val="22"/>
          <w:szCs w:val="22"/>
        </w:rPr>
        <w:t xml:space="preserve">Expected Deliverables and timeline </w:t>
      </w:r>
    </w:p>
    <w:tbl>
      <w:tblPr>
        <w:tblStyle w:val="TableGrid"/>
        <w:tblW w:w="9209" w:type="dxa"/>
        <w:tblLook w:val="04A0" w:firstRow="1" w:lastRow="0" w:firstColumn="1" w:lastColumn="0" w:noHBand="0" w:noVBand="1"/>
      </w:tblPr>
      <w:tblGrid>
        <w:gridCol w:w="4957"/>
        <w:gridCol w:w="1984"/>
        <w:gridCol w:w="2268"/>
      </w:tblGrid>
      <w:tr w:rsidR="00BF7588" w:rsidRPr="00BF7588" w14:paraId="28AC65EE" w14:textId="77777777" w:rsidTr="006C51D5">
        <w:trPr>
          <w:trHeight w:val="272"/>
        </w:trPr>
        <w:tc>
          <w:tcPr>
            <w:tcW w:w="4957" w:type="dxa"/>
            <w:tcBorders>
              <w:bottom w:val="single" w:sz="4" w:space="0" w:color="auto"/>
            </w:tcBorders>
            <w:shd w:val="clear" w:color="auto" w:fill="E7E6E6" w:themeFill="background2"/>
          </w:tcPr>
          <w:p w14:paraId="2CF2451D" w14:textId="77777777" w:rsidR="00BF7588" w:rsidRPr="00BF7588" w:rsidRDefault="00BF7588" w:rsidP="006C51D5">
            <w:pPr>
              <w:jc w:val="both"/>
              <w:rPr>
                <w:rFonts w:asciiTheme="minorHAnsi" w:hAnsiTheme="minorHAnsi" w:cstheme="minorHAnsi"/>
                <w:b/>
                <w:sz w:val="22"/>
                <w:szCs w:val="22"/>
                <w:lang w:val="en-GB"/>
              </w:rPr>
            </w:pPr>
            <w:r w:rsidRPr="00BF7588">
              <w:rPr>
                <w:rFonts w:asciiTheme="minorHAnsi" w:hAnsiTheme="minorHAnsi" w:cstheme="minorHAnsi"/>
                <w:b/>
                <w:sz w:val="22"/>
                <w:szCs w:val="22"/>
                <w:lang w:val="en-GB"/>
              </w:rPr>
              <w:t xml:space="preserve">Deliverable </w:t>
            </w:r>
          </w:p>
        </w:tc>
        <w:tc>
          <w:tcPr>
            <w:tcW w:w="1984" w:type="dxa"/>
            <w:shd w:val="clear" w:color="auto" w:fill="E7E6E6" w:themeFill="background2"/>
          </w:tcPr>
          <w:p w14:paraId="65523117" w14:textId="77777777" w:rsidR="00BF7588" w:rsidRPr="00BF7588" w:rsidRDefault="00BF7588" w:rsidP="006C51D5">
            <w:pPr>
              <w:jc w:val="both"/>
              <w:rPr>
                <w:rFonts w:asciiTheme="minorHAnsi" w:hAnsiTheme="minorHAnsi" w:cstheme="minorHAnsi"/>
                <w:b/>
                <w:sz w:val="22"/>
                <w:szCs w:val="22"/>
                <w:lang w:val="en-GB"/>
              </w:rPr>
            </w:pPr>
            <w:r w:rsidRPr="00BF7588">
              <w:rPr>
                <w:rFonts w:asciiTheme="minorHAnsi" w:hAnsiTheme="minorHAnsi" w:cstheme="minorHAnsi"/>
                <w:b/>
                <w:sz w:val="22"/>
                <w:szCs w:val="22"/>
                <w:lang w:val="en-GB"/>
              </w:rPr>
              <w:t>Payment Amount</w:t>
            </w:r>
          </w:p>
        </w:tc>
        <w:tc>
          <w:tcPr>
            <w:tcW w:w="2268" w:type="dxa"/>
            <w:shd w:val="clear" w:color="auto" w:fill="E7E6E6" w:themeFill="background2"/>
          </w:tcPr>
          <w:p w14:paraId="1D322B1B" w14:textId="77777777" w:rsidR="00BF7588" w:rsidRPr="00BF7588" w:rsidRDefault="00BF7588" w:rsidP="006C51D5">
            <w:pPr>
              <w:jc w:val="both"/>
              <w:rPr>
                <w:rFonts w:asciiTheme="minorHAnsi" w:hAnsiTheme="minorHAnsi" w:cstheme="minorHAnsi"/>
                <w:b/>
                <w:sz w:val="22"/>
                <w:szCs w:val="22"/>
                <w:lang w:val="en-GB"/>
              </w:rPr>
            </w:pPr>
            <w:r w:rsidRPr="00BF7588">
              <w:rPr>
                <w:rFonts w:asciiTheme="minorHAnsi" w:hAnsiTheme="minorHAnsi" w:cstheme="minorHAnsi"/>
                <w:b/>
                <w:sz w:val="22"/>
                <w:szCs w:val="22"/>
                <w:lang w:val="en-GB"/>
              </w:rPr>
              <w:t>Due dates</w:t>
            </w:r>
          </w:p>
        </w:tc>
      </w:tr>
      <w:tr w:rsidR="00BF7588" w:rsidRPr="00BF7588" w14:paraId="66C16D54" w14:textId="77777777" w:rsidTr="006C51D5">
        <w:trPr>
          <w:trHeight w:val="257"/>
        </w:trPr>
        <w:tc>
          <w:tcPr>
            <w:tcW w:w="4957" w:type="dxa"/>
          </w:tcPr>
          <w:p w14:paraId="78CF1AFF" w14:textId="77777777" w:rsidR="00BF7588" w:rsidRPr="00BF7588" w:rsidRDefault="00BF7588" w:rsidP="006C51D5">
            <w:pPr>
              <w:jc w:val="both"/>
              <w:rPr>
                <w:rFonts w:asciiTheme="minorHAnsi" w:hAnsiTheme="minorHAnsi" w:cstheme="minorHAnsi"/>
                <w:b/>
                <w:sz w:val="22"/>
                <w:szCs w:val="22"/>
              </w:rPr>
            </w:pPr>
            <w:r w:rsidRPr="00BF7588">
              <w:rPr>
                <w:rFonts w:asciiTheme="minorHAnsi" w:hAnsiTheme="minorHAnsi" w:cstheme="minorHAnsi"/>
                <w:b/>
                <w:sz w:val="22"/>
                <w:szCs w:val="22"/>
              </w:rPr>
              <w:t xml:space="preserve">Deliverable 1: Inception Report </w:t>
            </w:r>
          </w:p>
          <w:p w14:paraId="3C4BAA0A"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The inception report will include final research methodology, detailed work plan for the research, data collection instruments (including questionnaire for the interviews), roles and responsibilities of the team members and identification of interview respondents.</w:t>
            </w:r>
          </w:p>
          <w:p w14:paraId="3DC70FC9" w14:textId="77777777" w:rsidR="00BF7588" w:rsidRPr="00BF7588" w:rsidRDefault="00BF7588" w:rsidP="006C51D5">
            <w:pPr>
              <w:jc w:val="both"/>
              <w:rPr>
                <w:rFonts w:asciiTheme="minorHAnsi" w:hAnsiTheme="minorHAnsi" w:cstheme="minorHAnsi"/>
                <w:sz w:val="22"/>
                <w:szCs w:val="22"/>
              </w:rPr>
            </w:pPr>
          </w:p>
        </w:tc>
        <w:tc>
          <w:tcPr>
            <w:tcW w:w="1984" w:type="dxa"/>
          </w:tcPr>
          <w:p w14:paraId="18B556CE"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15%</w:t>
            </w:r>
          </w:p>
        </w:tc>
        <w:tc>
          <w:tcPr>
            <w:tcW w:w="2268" w:type="dxa"/>
          </w:tcPr>
          <w:p w14:paraId="7FCFECEE"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31 December 2020</w:t>
            </w:r>
          </w:p>
        </w:tc>
      </w:tr>
      <w:tr w:rsidR="00BF7588" w:rsidRPr="00BF7588" w14:paraId="22E61B10" w14:textId="77777777" w:rsidTr="006C51D5">
        <w:trPr>
          <w:trHeight w:val="257"/>
        </w:trPr>
        <w:tc>
          <w:tcPr>
            <w:tcW w:w="4957" w:type="dxa"/>
          </w:tcPr>
          <w:p w14:paraId="258C2DEC"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b/>
                <w:sz w:val="22"/>
                <w:szCs w:val="22"/>
              </w:rPr>
              <w:t xml:space="preserve">Deliverable 2: </w:t>
            </w:r>
            <w:r w:rsidRPr="00BF7588">
              <w:rPr>
                <w:rFonts w:asciiTheme="minorHAnsi" w:hAnsiTheme="minorHAnsi" w:cstheme="minorHAnsi"/>
                <w:b/>
                <w:bCs/>
                <w:iCs/>
                <w:sz w:val="22"/>
                <w:szCs w:val="22"/>
              </w:rPr>
              <w:t xml:space="preserve">Report </w:t>
            </w:r>
            <w:r w:rsidRPr="00BF7588">
              <w:rPr>
                <w:rFonts w:asciiTheme="minorHAnsi" w:hAnsiTheme="minorHAnsi" w:cstheme="minorHAnsi"/>
                <w:sz w:val="22"/>
                <w:szCs w:val="22"/>
              </w:rPr>
              <w:t>of information gathered in preliminary qualitative research</w:t>
            </w:r>
          </w:p>
          <w:p w14:paraId="0DCA7A9F" w14:textId="77777777" w:rsidR="00BF7588" w:rsidRPr="00BF7588" w:rsidDel="005962DA" w:rsidRDefault="00BF7588" w:rsidP="006C51D5">
            <w:pPr>
              <w:jc w:val="both"/>
              <w:rPr>
                <w:rFonts w:asciiTheme="minorHAnsi" w:hAnsiTheme="minorHAnsi" w:cstheme="minorHAnsi"/>
                <w:sz w:val="22"/>
                <w:szCs w:val="22"/>
              </w:rPr>
            </w:pPr>
          </w:p>
        </w:tc>
        <w:tc>
          <w:tcPr>
            <w:tcW w:w="1984" w:type="dxa"/>
          </w:tcPr>
          <w:p w14:paraId="2BCEEEF8"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15%</w:t>
            </w:r>
          </w:p>
        </w:tc>
        <w:tc>
          <w:tcPr>
            <w:tcW w:w="2268" w:type="dxa"/>
          </w:tcPr>
          <w:p w14:paraId="3CB26554" w14:textId="77777777" w:rsidR="00BF7588" w:rsidRPr="00BF7588" w:rsidDel="00FF301A"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15 February 2021</w:t>
            </w:r>
          </w:p>
        </w:tc>
      </w:tr>
      <w:tr w:rsidR="00BF7588" w:rsidRPr="00BF7588" w14:paraId="207A2001" w14:textId="77777777" w:rsidTr="006C51D5">
        <w:trPr>
          <w:trHeight w:val="287"/>
        </w:trPr>
        <w:tc>
          <w:tcPr>
            <w:tcW w:w="4957" w:type="dxa"/>
          </w:tcPr>
          <w:p w14:paraId="70A8FC97" w14:textId="77777777" w:rsidR="00BF7588" w:rsidRPr="00BF7588" w:rsidRDefault="00BF7588" w:rsidP="006C51D5">
            <w:pPr>
              <w:jc w:val="both"/>
              <w:rPr>
                <w:rFonts w:asciiTheme="minorHAnsi" w:hAnsiTheme="minorHAnsi" w:cstheme="minorHAnsi"/>
                <w:b/>
                <w:sz w:val="22"/>
                <w:szCs w:val="22"/>
                <w:lang w:val="en-GB"/>
              </w:rPr>
            </w:pPr>
            <w:r w:rsidRPr="00BF7588">
              <w:rPr>
                <w:rFonts w:asciiTheme="minorHAnsi" w:hAnsiTheme="minorHAnsi" w:cstheme="minorHAnsi"/>
                <w:b/>
                <w:sz w:val="22"/>
                <w:szCs w:val="22"/>
              </w:rPr>
              <w:t>Deliverable 3: Report</w:t>
            </w:r>
            <w:r w:rsidRPr="00BF7588">
              <w:rPr>
                <w:rFonts w:asciiTheme="minorHAnsi" w:hAnsiTheme="minorHAnsi" w:cstheme="minorHAnsi"/>
                <w:sz w:val="22"/>
                <w:szCs w:val="22"/>
              </w:rPr>
              <w:t xml:space="preserve"> </w:t>
            </w:r>
            <w:r w:rsidRPr="00BF7588">
              <w:rPr>
                <w:rFonts w:asciiTheme="minorHAnsi" w:hAnsiTheme="minorHAnsi" w:cstheme="minorHAnsi"/>
                <w:bCs/>
                <w:iCs/>
                <w:sz w:val="22"/>
                <w:szCs w:val="22"/>
              </w:rPr>
              <w:t>of information gathered in the quantitative data collection</w:t>
            </w:r>
            <w:r w:rsidRPr="00BF7588">
              <w:rPr>
                <w:rFonts w:asciiTheme="minorHAnsi" w:hAnsiTheme="minorHAnsi" w:cstheme="minorHAnsi"/>
                <w:b/>
                <w:sz w:val="22"/>
                <w:szCs w:val="22"/>
                <w:lang w:val="en-GB"/>
              </w:rPr>
              <w:t xml:space="preserve"> </w:t>
            </w:r>
          </w:p>
          <w:p w14:paraId="1DEF2D82" w14:textId="77777777" w:rsidR="00BF7588" w:rsidRPr="00BF7588" w:rsidRDefault="00BF7588" w:rsidP="006C51D5">
            <w:pPr>
              <w:jc w:val="both"/>
              <w:rPr>
                <w:rFonts w:asciiTheme="minorHAnsi" w:hAnsiTheme="minorHAnsi" w:cstheme="minorHAnsi"/>
                <w:sz w:val="22"/>
                <w:szCs w:val="22"/>
              </w:rPr>
            </w:pPr>
          </w:p>
        </w:tc>
        <w:tc>
          <w:tcPr>
            <w:tcW w:w="1984" w:type="dxa"/>
          </w:tcPr>
          <w:p w14:paraId="7BB1A96B"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35%</w:t>
            </w:r>
          </w:p>
        </w:tc>
        <w:tc>
          <w:tcPr>
            <w:tcW w:w="2268" w:type="dxa"/>
          </w:tcPr>
          <w:p w14:paraId="69BD5BDD"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15 April 2021</w:t>
            </w:r>
          </w:p>
        </w:tc>
      </w:tr>
      <w:tr w:rsidR="00BF7588" w:rsidRPr="00BF7588" w14:paraId="67EED2A4" w14:textId="77777777" w:rsidTr="006C51D5">
        <w:trPr>
          <w:trHeight w:val="287"/>
        </w:trPr>
        <w:tc>
          <w:tcPr>
            <w:tcW w:w="4957" w:type="dxa"/>
          </w:tcPr>
          <w:p w14:paraId="082A7D5D"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b/>
                <w:sz w:val="22"/>
                <w:szCs w:val="22"/>
              </w:rPr>
              <w:t>Deliverable 4: Report</w:t>
            </w:r>
            <w:r w:rsidRPr="00BF7588">
              <w:rPr>
                <w:rFonts w:asciiTheme="minorHAnsi" w:hAnsiTheme="minorHAnsi" w:cstheme="minorHAnsi"/>
                <w:sz w:val="22"/>
                <w:szCs w:val="22"/>
              </w:rPr>
              <w:t xml:space="preserve"> </w:t>
            </w:r>
            <w:r w:rsidRPr="00BF7588">
              <w:rPr>
                <w:rFonts w:asciiTheme="minorHAnsi" w:hAnsiTheme="minorHAnsi" w:cstheme="minorHAnsi"/>
                <w:bCs/>
                <w:iCs/>
                <w:sz w:val="22"/>
                <w:szCs w:val="22"/>
              </w:rPr>
              <w:t>of information gathered in the main qualitative data collection</w:t>
            </w:r>
          </w:p>
          <w:p w14:paraId="611818B3" w14:textId="77777777" w:rsidR="00BF7588" w:rsidRPr="00BF7588" w:rsidRDefault="00BF7588" w:rsidP="006C51D5">
            <w:pPr>
              <w:jc w:val="both"/>
              <w:rPr>
                <w:rFonts w:asciiTheme="minorHAnsi" w:hAnsiTheme="minorHAnsi" w:cstheme="minorHAnsi"/>
                <w:sz w:val="22"/>
                <w:szCs w:val="22"/>
              </w:rPr>
            </w:pPr>
          </w:p>
        </w:tc>
        <w:tc>
          <w:tcPr>
            <w:tcW w:w="1984" w:type="dxa"/>
          </w:tcPr>
          <w:p w14:paraId="7478628A"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35%</w:t>
            </w:r>
          </w:p>
        </w:tc>
        <w:tc>
          <w:tcPr>
            <w:tcW w:w="2268" w:type="dxa"/>
          </w:tcPr>
          <w:p w14:paraId="49694E54" w14:textId="77777777" w:rsidR="00BF7588" w:rsidRPr="00BF7588" w:rsidRDefault="00BF7588" w:rsidP="006C51D5">
            <w:pPr>
              <w:jc w:val="both"/>
              <w:rPr>
                <w:rFonts w:asciiTheme="minorHAnsi" w:hAnsiTheme="minorHAnsi" w:cstheme="minorHAnsi"/>
                <w:sz w:val="22"/>
                <w:szCs w:val="22"/>
              </w:rPr>
            </w:pPr>
            <w:r w:rsidRPr="00BF7588">
              <w:rPr>
                <w:rFonts w:asciiTheme="minorHAnsi" w:hAnsiTheme="minorHAnsi" w:cstheme="minorHAnsi"/>
                <w:sz w:val="22"/>
                <w:szCs w:val="22"/>
              </w:rPr>
              <w:t>15 May 2021</w:t>
            </w:r>
          </w:p>
        </w:tc>
      </w:tr>
    </w:tbl>
    <w:p w14:paraId="22C04F65" w14:textId="77777777" w:rsidR="00A64202" w:rsidRPr="00BF7588" w:rsidRDefault="00A64202">
      <w:pPr>
        <w:rPr>
          <w:rFonts w:asciiTheme="minorHAnsi" w:hAnsiTheme="minorHAnsi" w:cstheme="minorHAnsi"/>
          <w:sz w:val="22"/>
          <w:szCs w:val="22"/>
        </w:rPr>
      </w:pPr>
    </w:p>
    <w:sectPr w:rsidR="00A64202" w:rsidRPr="00BF75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FC8F6" w14:textId="77777777" w:rsidR="00BF7588" w:rsidRDefault="00BF7588" w:rsidP="00BF7588">
      <w:r>
        <w:separator/>
      </w:r>
    </w:p>
  </w:endnote>
  <w:endnote w:type="continuationSeparator" w:id="0">
    <w:p w14:paraId="3D53559D" w14:textId="77777777" w:rsidR="00BF7588" w:rsidRDefault="00BF7588" w:rsidP="00BF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2D2A4" w14:textId="77777777" w:rsidR="00BF7588" w:rsidRDefault="00BF7588" w:rsidP="00BF7588">
      <w:r>
        <w:separator/>
      </w:r>
    </w:p>
  </w:footnote>
  <w:footnote w:type="continuationSeparator" w:id="0">
    <w:p w14:paraId="41647CCD" w14:textId="77777777" w:rsidR="00BF7588" w:rsidRDefault="00BF7588" w:rsidP="00BF7588">
      <w:r>
        <w:continuationSeparator/>
      </w:r>
    </w:p>
  </w:footnote>
  <w:footnote w:id="1">
    <w:p w14:paraId="1D67CC1E" w14:textId="77777777" w:rsidR="00BF7588" w:rsidRDefault="00BF7588" w:rsidP="00BF7588">
      <w:pPr>
        <w:pStyle w:val="FootnoteText"/>
      </w:pPr>
      <w:r>
        <w:rPr>
          <w:rStyle w:val="FootnoteReference"/>
        </w:rPr>
        <w:footnoteRef/>
      </w:r>
      <w:r>
        <w:t xml:space="preserve"> Human Rights Council on cyber violence against women (</w:t>
      </w:r>
      <w:hyperlink r:id="rId1" w:history="1">
        <w:r w:rsidRPr="002265B5">
          <w:rPr>
            <w:rStyle w:val="Hyperlink"/>
          </w:rPr>
          <w:t>A/HRC/38/47</w:t>
        </w:r>
      </w:hyperlink>
      <w:r>
        <w:t>),</w:t>
      </w:r>
    </w:p>
  </w:footnote>
  <w:footnote w:id="2">
    <w:p w14:paraId="320E51F9" w14:textId="77777777" w:rsidR="00BF7588" w:rsidRPr="00A406A7" w:rsidRDefault="00BF7588" w:rsidP="00BF7588">
      <w:pPr>
        <w:pStyle w:val="FootnoteText"/>
      </w:pPr>
      <w:r>
        <w:rPr>
          <w:rStyle w:val="FootnoteReference"/>
        </w:rPr>
        <w:footnoteRef/>
      </w:r>
      <w:r>
        <w:t xml:space="preserve"> </w:t>
      </w:r>
      <w:r w:rsidRPr="00A406A7">
        <w:t>Preventing Violence Against Women in Elections, A Programming Guide</w:t>
      </w:r>
      <w:r>
        <w:t>,</w:t>
      </w:r>
      <w:r w:rsidRPr="00A406A7">
        <w:t xml:space="preserve"> UN Women/UNDP, 2017. </w:t>
      </w:r>
      <w:hyperlink r:id="rId2" w:history="1">
        <w:r w:rsidRPr="00A406A7">
          <w:rPr>
            <w:rStyle w:val="Hyperlink"/>
          </w:rPr>
          <w:t>http://www.unwomen.org/en/digital-library/publications/2017/11/preventing-violence-against-women-in-elections</w:t>
        </w:r>
      </w:hyperlink>
      <w:r w:rsidRPr="00A406A7">
        <w:t xml:space="preserve"> </w:t>
      </w:r>
    </w:p>
    <w:p w14:paraId="6A6B8456" w14:textId="77777777" w:rsidR="00BF7588" w:rsidRDefault="00BF7588" w:rsidP="00BF7588">
      <w:pPr>
        <w:pStyle w:val="FootnoteText"/>
      </w:pPr>
    </w:p>
  </w:footnote>
  <w:footnote w:id="3">
    <w:p w14:paraId="39C0D100" w14:textId="77777777" w:rsidR="00BF7588" w:rsidRPr="00B640AD" w:rsidRDefault="00BF7588" w:rsidP="00BF7588">
      <w:pPr>
        <w:autoSpaceDE w:val="0"/>
        <w:autoSpaceDN w:val="0"/>
        <w:adjustRightInd w:val="0"/>
        <w:contextualSpacing/>
        <w:rPr>
          <w:rFonts w:ascii="Times" w:hAnsi="Times" w:cs="Calibri"/>
          <w:sz w:val="18"/>
          <w:szCs w:val="18"/>
        </w:rPr>
      </w:pPr>
      <w:r w:rsidRPr="00B640AD">
        <w:rPr>
          <w:rStyle w:val="FootnoteReference"/>
          <w:rFonts w:ascii="Times" w:hAnsi="Times"/>
        </w:rPr>
        <w:footnoteRef/>
      </w:r>
      <w:r w:rsidRPr="00B640AD">
        <w:rPr>
          <w:rFonts w:ascii="Times" w:hAnsi="Times"/>
        </w:rPr>
        <w:t xml:space="preserve"> </w:t>
      </w:r>
      <w:r w:rsidRPr="00B640AD">
        <w:rPr>
          <w:rFonts w:ascii="Times" w:hAnsi="Times" w:cs="Calibri"/>
          <w:sz w:val="18"/>
          <w:szCs w:val="18"/>
        </w:rPr>
        <w:t xml:space="preserve">OHCHR (2018). Report of the Special Rapporteur on violence against women, its </w:t>
      </w:r>
      <w:proofErr w:type="gramStart"/>
      <w:r w:rsidRPr="00B640AD">
        <w:rPr>
          <w:rFonts w:ascii="Times" w:hAnsi="Times" w:cs="Calibri"/>
          <w:sz w:val="18"/>
          <w:szCs w:val="18"/>
        </w:rPr>
        <w:t>causes</w:t>
      </w:r>
      <w:proofErr w:type="gramEnd"/>
      <w:r w:rsidRPr="00B640AD">
        <w:rPr>
          <w:rFonts w:ascii="Times" w:hAnsi="Times" w:cs="Calibri"/>
          <w:sz w:val="18"/>
          <w:szCs w:val="18"/>
        </w:rPr>
        <w:t xml:space="preserve"> and consequences on cyber violence against women and girls from a human rights perspective. Available at</w:t>
      </w:r>
      <w:r>
        <w:rPr>
          <w:rFonts w:ascii="Times" w:hAnsi="Times" w:cs="Calibri"/>
          <w:sz w:val="18"/>
          <w:szCs w:val="18"/>
        </w:rPr>
        <w:t>:</w:t>
      </w:r>
      <w:r w:rsidRPr="00B640AD">
        <w:rPr>
          <w:rFonts w:ascii="Times" w:hAnsi="Times" w:cs="Calibri"/>
          <w:sz w:val="18"/>
          <w:szCs w:val="18"/>
        </w:rPr>
        <w:t xml:space="preserve"> </w:t>
      </w:r>
      <w:hyperlink r:id="rId3" w:history="1">
        <w:r w:rsidRPr="00B640AD">
          <w:rPr>
            <w:rStyle w:val="Hyperlink"/>
            <w:rFonts w:ascii="Times" w:hAnsi="Times" w:cs="Calibri"/>
            <w:sz w:val="18"/>
            <w:szCs w:val="18"/>
          </w:rPr>
          <w:t>https://www.ohchr.org/EN/Issues/Women/SRWomen/Pages/SRWomenIndex.aspx</w:t>
        </w:r>
      </w:hyperlink>
    </w:p>
  </w:footnote>
  <w:footnote w:id="4">
    <w:p w14:paraId="351ECD35" w14:textId="77777777" w:rsidR="00BF7588" w:rsidRPr="00B640AD" w:rsidRDefault="00BF7588" w:rsidP="00BF7588">
      <w:pPr>
        <w:pStyle w:val="FootnoteText"/>
        <w:contextualSpacing/>
        <w:rPr>
          <w:rFonts w:ascii="Times" w:hAnsi="Times"/>
          <w:sz w:val="18"/>
          <w:szCs w:val="18"/>
          <w:lang w:val="de-DE"/>
        </w:rPr>
      </w:pPr>
      <w:r w:rsidRPr="00B640AD">
        <w:rPr>
          <w:rStyle w:val="FootnoteReference"/>
          <w:rFonts w:ascii="Times" w:hAnsi="Times"/>
        </w:rPr>
        <w:footnoteRef/>
      </w:r>
      <w:r w:rsidRPr="00B640AD">
        <w:rPr>
          <w:rFonts w:ascii="Times" w:hAnsi="Times"/>
          <w:sz w:val="18"/>
          <w:szCs w:val="18"/>
          <w:lang w:val="de-DE"/>
        </w:rPr>
        <w:t xml:space="preserve"> </w:t>
      </w:r>
      <w:hyperlink r:id="rId4" w:history="1">
        <w:r w:rsidRPr="00B640AD">
          <w:rPr>
            <w:rStyle w:val="Hyperlink"/>
            <w:rFonts w:ascii="Times" w:hAnsi="Times"/>
            <w:sz w:val="18"/>
            <w:szCs w:val="18"/>
            <w:lang w:val="de-DE"/>
          </w:rPr>
          <w:t>https://www.h24info.ma/maroc/15-million-de-marocaines-victimes-de-cyber-violence/</w:t>
        </w:r>
      </w:hyperlink>
    </w:p>
  </w:footnote>
  <w:footnote w:id="5">
    <w:p w14:paraId="79B34CC8" w14:textId="77777777" w:rsidR="00BF7588" w:rsidRPr="00B640AD" w:rsidRDefault="00BF7588" w:rsidP="00BF7588">
      <w:pPr>
        <w:pStyle w:val="FootnoteText"/>
        <w:contextualSpacing/>
        <w:rPr>
          <w:rFonts w:ascii="Times" w:hAnsi="Times"/>
          <w:sz w:val="18"/>
          <w:szCs w:val="18"/>
        </w:rPr>
      </w:pPr>
      <w:r w:rsidRPr="00B640AD">
        <w:rPr>
          <w:rStyle w:val="FootnoteReference"/>
          <w:rFonts w:ascii="Times" w:hAnsi="Times"/>
        </w:rPr>
        <w:footnoteRef/>
      </w:r>
      <w:r w:rsidRPr="00B640AD">
        <w:rPr>
          <w:rFonts w:ascii="Times" w:hAnsi="Times"/>
          <w:sz w:val="18"/>
          <w:szCs w:val="18"/>
        </w:rPr>
        <w:t xml:space="preserve"> See Gender, Masculinities and Violent Extremism in North Africa; a Research Agenda: </w:t>
      </w:r>
      <w:hyperlink r:id="rId5" w:history="1">
        <w:r w:rsidRPr="00B640AD">
          <w:rPr>
            <w:rStyle w:val="Hyperlink"/>
            <w:rFonts w:ascii="Times" w:hAnsi="Times"/>
            <w:sz w:val="18"/>
            <w:szCs w:val="18"/>
          </w:rPr>
          <w:t>https://arabstates.unwomen.org/en/digital-library/publications/2020/01/gender-equality-and-violent-extremism-in-north-africa-studies</w:t>
        </w:r>
      </w:hyperlink>
    </w:p>
  </w:footnote>
  <w:footnote w:id="6">
    <w:p w14:paraId="6E958F63" w14:textId="77777777" w:rsidR="00BF7588" w:rsidRPr="00B640AD" w:rsidRDefault="00BF7588" w:rsidP="00BF7588">
      <w:pPr>
        <w:autoSpaceDE w:val="0"/>
        <w:autoSpaceDN w:val="0"/>
        <w:adjustRightInd w:val="0"/>
        <w:contextualSpacing/>
        <w:jc w:val="both"/>
        <w:rPr>
          <w:rFonts w:ascii="Times" w:hAnsi="Times" w:cstheme="minorHAnsi"/>
          <w:sz w:val="18"/>
          <w:szCs w:val="18"/>
        </w:rPr>
      </w:pPr>
      <w:r w:rsidRPr="00B640AD">
        <w:rPr>
          <w:rStyle w:val="FootnoteReference"/>
          <w:rFonts w:ascii="Times" w:hAnsi="Times" w:cstheme="minorHAnsi"/>
        </w:rPr>
        <w:footnoteRef/>
      </w:r>
      <w:r w:rsidRPr="00B640AD">
        <w:rPr>
          <w:rFonts w:ascii="Times" w:hAnsi="Times" w:cstheme="minorHAnsi"/>
          <w:sz w:val="18"/>
          <w:szCs w:val="18"/>
        </w:rPr>
        <w:t xml:space="preserve"> </w:t>
      </w:r>
      <w:hyperlink r:id="rId6" w:history="1">
        <w:r w:rsidRPr="00B640AD">
          <w:rPr>
            <w:rStyle w:val="Hyperlink"/>
            <w:rFonts w:ascii="Times" w:hAnsi="Times" w:cstheme="minorHAnsi"/>
            <w:sz w:val="18"/>
            <w:szCs w:val="18"/>
          </w:rPr>
          <w:t>https://www.amnesty.org/download/Documents/MDE1986572018ENGLISH.pdf</w:t>
        </w:r>
      </w:hyperlink>
      <w:r w:rsidRPr="00B640AD">
        <w:rPr>
          <w:rFonts w:ascii="Times" w:hAnsi="Times" w:cstheme="minorHAnsi"/>
          <w:sz w:val="18"/>
          <w:szCs w:val="18"/>
        </w:rPr>
        <w:t xml:space="preserve"> </w:t>
      </w:r>
    </w:p>
  </w:footnote>
  <w:footnote w:id="7">
    <w:p w14:paraId="7AAAB72E" w14:textId="77777777" w:rsidR="00BF7588" w:rsidRPr="00B640AD" w:rsidRDefault="00BF7588" w:rsidP="00BF7588">
      <w:pPr>
        <w:pStyle w:val="FootnoteText"/>
        <w:rPr>
          <w:rFonts w:ascii="Times" w:hAnsi="Times"/>
          <w:sz w:val="18"/>
        </w:rPr>
      </w:pPr>
      <w:r w:rsidRPr="00B640AD">
        <w:rPr>
          <w:rStyle w:val="FootnoteReference"/>
          <w:rFonts w:ascii="Times" w:hAnsi="Times"/>
        </w:rPr>
        <w:footnoteRef/>
      </w:r>
      <w:r w:rsidRPr="00B640AD">
        <w:rPr>
          <w:rFonts w:ascii="Times" w:hAnsi="Times"/>
          <w:sz w:val="18"/>
        </w:rPr>
        <w:t xml:space="preserve"> Human Rights Council, Report of the Special Rapporteur on violence against women, its causes and consequences on cyber violence against women and girls from a human rights perspective, June 2018, available at: </w:t>
      </w:r>
      <w:hyperlink r:id="rId7" w:history="1">
        <w:r w:rsidRPr="00B640AD">
          <w:rPr>
            <w:rStyle w:val="Hyperlink"/>
            <w:rFonts w:ascii="Times" w:hAnsi="Times"/>
            <w:sz w:val="18"/>
          </w:rPr>
          <w:t>https://www.ohchr.org/EN/HRBodies/HRC/RegularSessions/Session38/Documents/A_HRC_38_47_EN.docx</w:t>
        </w:r>
      </w:hyperlink>
      <w:r w:rsidRPr="00B640AD">
        <w:rPr>
          <w:rFonts w:ascii="Times" w:hAnsi="Times"/>
          <w:sz w:val="18"/>
        </w:rPr>
        <w:t xml:space="preserve"> </w:t>
      </w:r>
    </w:p>
  </w:footnote>
  <w:footnote w:id="8">
    <w:p w14:paraId="02426769" w14:textId="77777777" w:rsidR="00BF7588" w:rsidRPr="00B640AD" w:rsidRDefault="00BF7588" w:rsidP="00BF7588">
      <w:pPr>
        <w:pStyle w:val="FootnoteText"/>
        <w:rPr>
          <w:rFonts w:ascii="Times" w:hAnsi="Times" w:cstheme="minorHAnsi"/>
          <w:color w:val="000000" w:themeColor="text1"/>
          <w:sz w:val="18"/>
          <w:szCs w:val="18"/>
        </w:rPr>
      </w:pPr>
      <w:r w:rsidRPr="00B640AD">
        <w:rPr>
          <w:rStyle w:val="FootnoteReference"/>
          <w:rFonts w:ascii="Times" w:hAnsi="Times" w:cstheme="minorHAnsi"/>
          <w:color w:val="000000" w:themeColor="text1"/>
        </w:rPr>
        <w:footnoteRef/>
      </w:r>
      <w:r w:rsidRPr="00B640AD">
        <w:rPr>
          <w:rFonts w:ascii="Times" w:hAnsi="Times" w:cstheme="minorHAnsi"/>
          <w:color w:val="000000" w:themeColor="text1"/>
          <w:sz w:val="18"/>
          <w:szCs w:val="18"/>
        </w:rPr>
        <w:t xml:space="preserve"> Ibid.</w:t>
      </w:r>
    </w:p>
  </w:footnote>
  <w:footnote w:id="9">
    <w:p w14:paraId="4885D8D2" w14:textId="77777777" w:rsidR="00BF7588" w:rsidRPr="008B2FF1" w:rsidRDefault="00BF7588" w:rsidP="00BF7588">
      <w:pPr>
        <w:pStyle w:val="FootnoteText"/>
        <w:rPr>
          <w:rFonts w:cstheme="minorHAnsi"/>
          <w:color w:val="000000" w:themeColor="text1"/>
          <w:sz w:val="18"/>
          <w:szCs w:val="18"/>
        </w:rPr>
      </w:pPr>
      <w:r w:rsidRPr="008B2FF1">
        <w:rPr>
          <w:rStyle w:val="FootnoteReference"/>
          <w:rFonts w:cstheme="minorHAnsi"/>
          <w:color w:val="000000" w:themeColor="text1"/>
        </w:rPr>
        <w:footnoteRef/>
      </w:r>
      <w:r w:rsidRPr="008B2FF1">
        <w:rPr>
          <w:rFonts w:cstheme="minorHAnsi"/>
          <w:color w:val="000000" w:themeColor="text1"/>
          <w:sz w:val="18"/>
          <w:szCs w:val="18"/>
        </w:rPr>
        <w:t xml:space="preserve"> Ibid.</w:t>
      </w:r>
    </w:p>
  </w:footnote>
  <w:footnote w:id="10">
    <w:p w14:paraId="51DBDA8A" w14:textId="77777777" w:rsidR="00BF7588" w:rsidRPr="008B2FF1" w:rsidRDefault="00BF7588" w:rsidP="00BF7588">
      <w:pPr>
        <w:pStyle w:val="FootnoteText"/>
        <w:rPr>
          <w:rFonts w:cstheme="minorHAnsi"/>
          <w:sz w:val="18"/>
          <w:szCs w:val="18"/>
        </w:rPr>
      </w:pPr>
      <w:r w:rsidRPr="008B2FF1">
        <w:rPr>
          <w:rStyle w:val="FootnoteReference"/>
          <w:rFonts w:cstheme="minorHAnsi"/>
        </w:rPr>
        <w:footnoteRef/>
      </w:r>
      <w:r w:rsidRPr="008B2FF1">
        <w:rPr>
          <w:rFonts w:cstheme="minorHAnsi"/>
          <w:sz w:val="18"/>
          <w:szCs w:val="18"/>
        </w:rPr>
        <w:t xml:space="preserve"> For instance, in line with WHO guidelines on ethical and safety recommendations for research on domestic violence against women—which recommend that studies on domestic violence should be framed as studies on women’s health, life experiences or family relations and should use ‘act-based’ questions—a more general and less sensitive title, such as ‘study on women’s political participation experiences’, could be used to introduce the survey and/or data collection process to prevent non-response to the survey or negative impact on women participating in the survey.</w:t>
      </w:r>
    </w:p>
  </w:footnote>
  <w:footnote w:id="11">
    <w:p w14:paraId="7A5BC056" w14:textId="77777777" w:rsidR="00BF7588" w:rsidRPr="008B2FF1" w:rsidRDefault="00BF7588" w:rsidP="00BF7588">
      <w:pPr>
        <w:pStyle w:val="FootnoteText"/>
        <w:rPr>
          <w:rFonts w:cstheme="minorHAnsi"/>
          <w:sz w:val="18"/>
          <w:szCs w:val="18"/>
        </w:rPr>
      </w:pPr>
      <w:r w:rsidRPr="008B2FF1">
        <w:rPr>
          <w:rStyle w:val="FootnoteReference"/>
          <w:rFonts w:cstheme="minorHAnsi"/>
        </w:rPr>
        <w:footnoteRef/>
      </w:r>
      <w:r w:rsidRPr="008B2FF1">
        <w:rPr>
          <w:rFonts w:cstheme="minorHAnsi"/>
          <w:sz w:val="18"/>
          <w:szCs w:val="18"/>
        </w:rPr>
        <w:t xml:space="preserve"> The exact mode for the administration of the survey will be determined during the development of the quantitative data collection tools (Component 4). </w:t>
      </w:r>
    </w:p>
  </w:footnote>
  <w:footnote w:id="12">
    <w:p w14:paraId="2CEEAC23" w14:textId="77777777" w:rsidR="00BF7588" w:rsidRPr="008B2FF1" w:rsidRDefault="00BF7588" w:rsidP="00BF7588">
      <w:pPr>
        <w:pStyle w:val="FootnoteText"/>
        <w:rPr>
          <w:rFonts w:cstheme="minorHAnsi"/>
          <w:sz w:val="18"/>
          <w:szCs w:val="18"/>
        </w:rPr>
      </w:pPr>
      <w:r w:rsidRPr="008B2FF1">
        <w:rPr>
          <w:rStyle w:val="FootnoteReference"/>
          <w:rFonts w:cstheme="minorHAnsi"/>
        </w:rPr>
        <w:footnoteRef/>
      </w:r>
      <w:r w:rsidRPr="008B2FF1">
        <w:rPr>
          <w:rFonts w:cstheme="minorHAnsi"/>
          <w:sz w:val="18"/>
          <w:szCs w:val="18"/>
        </w:rPr>
        <w:t xml:space="preserve"> The qualitative data collection will include specific considerations for the inclusion of voices from the LBTIQ+ community and include other relevant groups such as women who contested elections but were not 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5B4"/>
    <w:multiLevelType w:val="hybridMultilevel"/>
    <w:tmpl w:val="7DF0F22E"/>
    <w:lvl w:ilvl="0" w:tplc="04090003">
      <w:start w:val="1"/>
      <w:numFmt w:val="bullet"/>
      <w:lvlText w:val="o"/>
      <w:lvlJc w:val="left"/>
      <w:pPr>
        <w:ind w:left="1068" w:hanging="360"/>
      </w:pPr>
      <w:rPr>
        <w:rFonts w:ascii="Courier New" w:hAnsi="Courier New" w:cs="Courier New"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6CB25B9"/>
    <w:multiLevelType w:val="hybridMultilevel"/>
    <w:tmpl w:val="C7A47A30"/>
    <w:lvl w:ilvl="0" w:tplc="04090003">
      <w:start w:val="1"/>
      <w:numFmt w:val="bullet"/>
      <w:lvlText w:val="o"/>
      <w:lvlJc w:val="left"/>
      <w:pPr>
        <w:ind w:left="1068" w:hanging="360"/>
      </w:pPr>
      <w:rPr>
        <w:rFonts w:ascii="Courier New" w:hAnsi="Courier New" w:cs="Courier New"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9B32E25"/>
    <w:multiLevelType w:val="hybridMultilevel"/>
    <w:tmpl w:val="D722B330"/>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E24468"/>
    <w:multiLevelType w:val="hybridMultilevel"/>
    <w:tmpl w:val="0CA0C87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274204"/>
    <w:multiLevelType w:val="hybridMultilevel"/>
    <w:tmpl w:val="AEB272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91531"/>
    <w:multiLevelType w:val="hybridMultilevel"/>
    <w:tmpl w:val="8070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E3D26"/>
    <w:multiLevelType w:val="hybridMultilevel"/>
    <w:tmpl w:val="4F5CECB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20730D"/>
    <w:multiLevelType w:val="hybridMultilevel"/>
    <w:tmpl w:val="FB80E704"/>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C23D99"/>
    <w:multiLevelType w:val="hybridMultilevel"/>
    <w:tmpl w:val="B852CE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0"/>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88"/>
    <w:rsid w:val="00324793"/>
    <w:rsid w:val="00A64202"/>
    <w:rsid w:val="00BF7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E172"/>
  <w15:chartTrackingRefBased/>
  <w15:docId w15:val="{08DCA33F-3ADF-4183-BC17-1F57400C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88"/>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588"/>
    <w:pPr>
      <w:spacing w:after="0" w:line="240" w:lineRule="auto"/>
    </w:pPr>
    <w:rPr>
      <w:rFonts w:eastAsiaTheme="minorEastAsia"/>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7588"/>
    <w:rPr>
      <w:color w:val="0000FF"/>
      <w:u w:val="single"/>
    </w:rPr>
  </w:style>
  <w:style w:type="paragraph" w:customStyle="1" w:styleId="HEADING">
    <w:name w:val="HEADING"/>
    <w:basedOn w:val="Normal"/>
    <w:link w:val="HEADINGChar"/>
    <w:qFormat/>
    <w:rsid w:val="00BF7588"/>
    <w:pPr>
      <w:keepNext/>
      <w:keepLines/>
      <w:pBdr>
        <w:bottom w:val="single" w:sz="4" w:space="2" w:color="ED7D31"/>
      </w:pBdr>
      <w:spacing w:before="360" w:after="120"/>
      <w:jc w:val="center"/>
      <w:outlineLvl w:val="0"/>
    </w:pPr>
    <w:rPr>
      <w:rFonts w:ascii="Calibri" w:hAnsi="Calibri"/>
      <w:b/>
      <w:color w:val="262626"/>
      <w:sz w:val="36"/>
      <w:szCs w:val="40"/>
      <w:lang w:val="en-US"/>
    </w:rPr>
  </w:style>
  <w:style w:type="character" w:customStyle="1" w:styleId="HEADINGChar">
    <w:name w:val="HEADING Char"/>
    <w:basedOn w:val="DefaultParagraphFont"/>
    <w:link w:val="HEADING"/>
    <w:rsid w:val="00BF7588"/>
    <w:rPr>
      <w:rFonts w:ascii="Calibri" w:eastAsia="Times New Roman" w:hAnsi="Calibri" w:cs="Times New Roman"/>
      <w:b/>
      <w:color w:val="262626"/>
      <w:sz w:val="36"/>
      <w:szCs w:val="40"/>
    </w:rPr>
  </w:style>
  <w:style w:type="paragraph" w:styleId="NormalWeb">
    <w:name w:val="Normal (Web)"/>
    <w:basedOn w:val="Normal"/>
    <w:uiPriority w:val="99"/>
    <w:unhideWhenUsed/>
    <w:rsid w:val="00BF7588"/>
    <w:pPr>
      <w:spacing w:before="100" w:beforeAutospacing="1" w:after="100" w:afterAutospacing="1"/>
    </w:pPr>
    <w:rPr>
      <w:lang w:val="en-US"/>
    </w:rPr>
  </w:style>
  <w:style w:type="paragraph" w:styleId="FootnoteText">
    <w:name w:val="footnote text"/>
    <w:basedOn w:val="Normal"/>
    <w:link w:val="FootnoteTextChar"/>
    <w:unhideWhenUsed/>
    <w:rsid w:val="00BF7588"/>
    <w:rPr>
      <w:sz w:val="20"/>
      <w:szCs w:val="20"/>
      <w:lang w:val="en-US"/>
    </w:rPr>
  </w:style>
  <w:style w:type="character" w:customStyle="1" w:styleId="FootnoteTextChar">
    <w:name w:val="Footnote Text Char"/>
    <w:basedOn w:val="DefaultParagraphFont"/>
    <w:link w:val="FootnoteText"/>
    <w:rsid w:val="00BF7588"/>
    <w:rPr>
      <w:rFonts w:ascii="Times New Roman" w:eastAsia="Times New Roman" w:hAnsi="Times New Roman" w:cs="Times New Roman"/>
      <w:sz w:val="20"/>
      <w:szCs w:val="20"/>
    </w:rPr>
  </w:style>
  <w:style w:type="character" w:styleId="FootnoteReference">
    <w:name w:val="footnote reference"/>
    <w:aliases w:val="ftref,fr,16 Point,Superscript 6 Point,(NECG) Footnote Reference,Ref,de nota al pie,BVI fnr,Footnote Reference Number,Superscript 10 Point,Footnote symbol,Footnote text, BVI fnr, BVI fnr Car Car,BVI fnr Car,FO,BVI fnr Car Car,Char Char"/>
    <w:qFormat/>
    <w:rsid w:val="00BF7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Issues/Women/SRWomen/Pages/SRWomenIndex.aspx" TargetMode="External"/><Relationship Id="rId7" Type="http://schemas.openxmlformats.org/officeDocument/2006/relationships/hyperlink" Target="https://www.ohchr.org/EN/HRBodies/HRC/RegularSessions/Session38/Documents/A_HRC_38_47_EN.docx" TargetMode="External"/><Relationship Id="rId2" Type="http://schemas.openxmlformats.org/officeDocument/2006/relationships/hyperlink" Target="http://www.unwomen.org/en/digital-library/publications/2017/11/preventing-violence-against-women-in-elections" TargetMode="External"/><Relationship Id="rId1" Type="http://schemas.openxmlformats.org/officeDocument/2006/relationships/hyperlink" Target="https://undocs.org/A/HRC/38/47" TargetMode="External"/><Relationship Id="rId6" Type="http://schemas.openxmlformats.org/officeDocument/2006/relationships/hyperlink" Target="https://www.amnesty.org/download/Documents/MDE1986572018ENGLISH.pdf" TargetMode="External"/><Relationship Id="rId5" Type="http://schemas.openxmlformats.org/officeDocument/2006/relationships/hyperlink" Target="https://arabstates.unwomen.org/en/digital-library/publications/2020/01/gender-equality-and-violent-extremism-in-north-africa-studies" TargetMode="External"/><Relationship Id="rId4" Type="http://schemas.openxmlformats.org/officeDocument/2006/relationships/hyperlink" Target="https://www.h24info.ma/maroc/15-million-de-marocaines-victimes-de-cyber-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3032</Words>
  <Characters>17285</Characters>
  <Application>Microsoft Office Word</Application>
  <DocSecurity>0</DocSecurity>
  <Lines>144</Lines>
  <Paragraphs>40</Paragraphs>
  <ScaleCrop>false</ScaleCrop>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Nesma Ali</dc:creator>
  <cp:keywords/>
  <dc:description/>
  <cp:lastModifiedBy>Nesma Ali</cp:lastModifiedBy>
  <cp:revision>2</cp:revision>
  <dcterms:created xsi:type="dcterms:W3CDTF">2020-11-23T09:23:00Z</dcterms:created>
  <dcterms:modified xsi:type="dcterms:W3CDTF">2020-11-23T09:23:00Z</dcterms:modified>
</cp:coreProperties>
</file>